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7380" w:type="dxa"/>
        <w:tblInd w:w="2230" w:type="dxa"/>
        <w:tblBorders>
          <w:bottom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80"/>
      </w:tblGrid>
      <w:tr w:rsidR="00426CF0">
        <w:trPr>
          <w:trHeight w:val="539"/>
        </w:trPr>
        <w:tc>
          <w:tcPr>
            <w:tcW w:w="7380" w:type="dxa"/>
            <w:vAlign w:val="bottom"/>
          </w:tcPr>
          <w:p w:rsidR="00426CF0" w:rsidRDefault="00582DC0">
            <w:pPr>
              <w:ind w:left="-70"/>
              <w:jc w:val="center"/>
              <w:rPr>
                <w:rFonts w:ascii="Calibri" w:hAnsi="Calibri"/>
                <w:sz w:val="34"/>
                <w:szCs w:val="34"/>
              </w:rPr>
            </w:pPr>
            <w:bookmarkStart w:id="0" w:name="_GoBack"/>
            <w:bookmarkEnd w:id="0"/>
            <w:r>
              <w:rPr>
                <w:rFonts w:ascii="Calibri" w:hAnsi="Calibri"/>
                <w:noProof/>
                <w:sz w:val="34"/>
                <w:szCs w:val="34"/>
                <w:lang w:val="fr-BE" w:eastAsia="fr-BE"/>
              </w:rPr>
              <w:drawing>
                <wp:anchor distT="0" distB="0" distL="114300" distR="114300" simplePos="0" relativeHeight="251657216" behindDoc="1" locked="0" layoutInCell="1" allowOverlap="1">
                  <wp:simplePos x="0" y="0"/>
                  <wp:positionH relativeFrom="column">
                    <wp:posOffset>-1743075</wp:posOffset>
                  </wp:positionH>
                  <wp:positionV relativeFrom="paragraph">
                    <wp:posOffset>-327025</wp:posOffset>
                  </wp:positionV>
                  <wp:extent cx="1373505" cy="1311275"/>
                  <wp:effectExtent l="19050" t="0" r="0" b="0"/>
                  <wp:wrapNone/>
                  <wp:docPr id="3" name="Image 3" descr="FWB_VERTI_N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WB_VERTI_NOIR"/>
                          <pic:cNvPicPr>
                            <a:picLocks noChangeAspect="1" noChangeArrowheads="1"/>
                          </pic:cNvPicPr>
                        </pic:nvPicPr>
                        <pic:blipFill>
                          <a:blip r:embed="rId8" cstate="print"/>
                          <a:srcRect/>
                          <a:stretch>
                            <a:fillRect/>
                          </a:stretch>
                        </pic:blipFill>
                        <pic:spPr bwMode="auto">
                          <a:xfrm>
                            <a:off x="0" y="0"/>
                            <a:ext cx="1373505" cy="1311275"/>
                          </a:xfrm>
                          <a:prstGeom prst="rect">
                            <a:avLst/>
                          </a:prstGeom>
                          <a:noFill/>
                          <a:ln w="9525">
                            <a:noFill/>
                            <a:miter lim="800000"/>
                            <a:headEnd/>
                            <a:tailEnd/>
                          </a:ln>
                        </pic:spPr>
                      </pic:pic>
                    </a:graphicData>
                  </a:graphic>
                </wp:anchor>
              </w:drawing>
            </w:r>
            <w:r>
              <w:rPr>
                <w:rFonts w:ascii="Calibri" w:hAnsi="Calibri"/>
                <w:sz w:val="34"/>
                <w:szCs w:val="34"/>
              </w:rPr>
              <w:t>PROFIL DE FONCTION</w:t>
            </w:r>
          </w:p>
        </w:tc>
      </w:tr>
      <w:tr w:rsidR="00426CF0">
        <w:trPr>
          <w:trHeight w:val="1251"/>
        </w:trPr>
        <w:tc>
          <w:tcPr>
            <w:tcW w:w="7380" w:type="dxa"/>
            <w:vAlign w:val="center"/>
          </w:tcPr>
          <w:p w:rsidR="00426CF0" w:rsidRPr="00FC36AF" w:rsidRDefault="00582DC0">
            <w:pPr>
              <w:jc w:val="center"/>
              <w:rPr>
                <w:rFonts w:ascii="Calibri" w:hAnsi="Calibri"/>
                <w:b/>
                <w:color w:val="3366FF"/>
                <w:sz w:val="36"/>
                <w:szCs w:val="36"/>
                <w:lang w:val="fr-BE"/>
              </w:rPr>
            </w:pPr>
            <w:r>
              <w:rPr>
                <w:rFonts w:ascii="Calibri" w:hAnsi="Calibri"/>
                <w:b/>
                <w:color w:val="3366FF"/>
                <w:sz w:val="36"/>
                <w:szCs w:val="36"/>
              </w:rPr>
              <w:t>Coordonnateur/Coordonnatric</w:t>
            </w:r>
            <w:r w:rsidR="00FC36AF">
              <w:rPr>
                <w:rFonts w:ascii="Calibri" w:hAnsi="Calibri"/>
                <w:b/>
                <w:color w:val="3366FF"/>
                <w:sz w:val="36"/>
                <w:szCs w:val="36"/>
              </w:rPr>
              <w:t>e de Centre de Technologies Ava</w:t>
            </w:r>
            <w:r>
              <w:rPr>
                <w:rFonts w:ascii="Calibri" w:hAnsi="Calibri"/>
                <w:b/>
                <w:color w:val="3366FF"/>
                <w:sz w:val="36"/>
                <w:szCs w:val="36"/>
              </w:rPr>
              <w:t xml:space="preserve">ncées </w:t>
            </w:r>
            <w:r w:rsidRPr="00FC36AF">
              <w:rPr>
                <w:rFonts w:ascii="Calibri" w:hAnsi="Calibri"/>
                <w:b/>
                <w:color w:val="3366FF"/>
                <w:sz w:val="36"/>
                <w:szCs w:val="36"/>
                <w:lang w:val="fr-BE"/>
              </w:rPr>
              <w:t>(H/F)</w:t>
            </w:r>
          </w:p>
        </w:tc>
      </w:tr>
    </w:tbl>
    <w:p w:rsidR="00426CF0" w:rsidRPr="00FC36AF" w:rsidRDefault="00426CF0">
      <w:pPr>
        <w:rPr>
          <w:rFonts w:ascii="Calibri" w:hAnsi="Calibri"/>
          <w:sz w:val="20"/>
          <w:szCs w:val="20"/>
          <w:lang w:val="fr-BE"/>
        </w:rPr>
      </w:pPr>
    </w:p>
    <w:p w:rsidR="00426CF0" w:rsidRPr="00FC36AF" w:rsidRDefault="00426CF0">
      <w:pPr>
        <w:rPr>
          <w:rFonts w:ascii="Calibri" w:hAnsi="Calibri"/>
          <w:sz w:val="20"/>
          <w:szCs w:val="20"/>
          <w:lang w:val="fr-BE"/>
        </w:rPr>
      </w:pPr>
    </w:p>
    <w:tbl>
      <w:tblPr>
        <w:tblW w:w="3690" w:type="dxa"/>
        <w:tblInd w:w="430" w:type="dxa"/>
        <w:tblBorders>
          <w:insideH w:val="single" w:sz="24" w:space="0" w:color="auto"/>
          <w:insideV w:val="single" w:sz="24" w:space="0" w:color="FFFFFF"/>
        </w:tblBorders>
        <w:shd w:val="clear" w:color="auto" w:fill="C0C0C0"/>
        <w:tblCellMar>
          <w:left w:w="70" w:type="dxa"/>
          <w:right w:w="70" w:type="dxa"/>
        </w:tblCellMar>
        <w:tblLook w:val="0000" w:firstRow="0" w:lastRow="0" w:firstColumn="0" w:lastColumn="0" w:noHBand="0" w:noVBand="0"/>
      </w:tblPr>
      <w:tblGrid>
        <w:gridCol w:w="1847"/>
        <w:gridCol w:w="1843"/>
      </w:tblGrid>
      <w:tr w:rsidR="00426CF0">
        <w:trPr>
          <w:trHeight w:val="720"/>
        </w:trPr>
        <w:tc>
          <w:tcPr>
            <w:tcW w:w="1847" w:type="dxa"/>
            <w:tcBorders>
              <w:top w:val="nil"/>
              <w:left w:val="nil"/>
              <w:bottom w:val="nil"/>
              <w:right w:val="single" w:sz="24" w:space="0" w:color="FFFFFF"/>
            </w:tcBorders>
            <w:shd w:val="clear" w:color="auto" w:fill="3265FF"/>
            <w:vAlign w:val="center"/>
          </w:tcPr>
          <w:p w:rsidR="00426CF0" w:rsidRDefault="00582DC0">
            <w:pPr>
              <w:numPr>
                <w:ilvl w:val="0"/>
                <w:numId w:val="5"/>
              </w:numPr>
              <w:tabs>
                <w:tab w:val="clear" w:pos="720"/>
              </w:tabs>
              <w:ind w:left="181" w:hanging="181"/>
              <w:rPr>
                <w:rFonts w:ascii="Calibri" w:hAnsi="Calibri"/>
                <w:b/>
                <w:color w:val="FFFFFF"/>
                <w:sz w:val="20"/>
                <w:szCs w:val="20"/>
              </w:rPr>
            </w:pPr>
            <w:r>
              <w:rPr>
                <w:rFonts w:ascii="Calibri" w:hAnsi="Calibri"/>
                <w:b/>
                <w:color w:val="FFFFFF"/>
                <w:sz w:val="20"/>
                <w:szCs w:val="20"/>
              </w:rPr>
              <w:t>Identité fonctionnelle</w:t>
            </w:r>
          </w:p>
        </w:tc>
        <w:tc>
          <w:tcPr>
            <w:tcW w:w="1843" w:type="dxa"/>
            <w:tcBorders>
              <w:top w:val="nil"/>
              <w:left w:val="single" w:sz="24" w:space="0" w:color="FFFFFF"/>
              <w:bottom w:val="nil"/>
              <w:right w:val="single" w:sz="24" w:space="0" w:color="FFFFFF"/>
            </w:tcBorders>
            <w:shd w:val="clear" w:color="auto" w:fill="C0C0C0"/>
            <w:vAlign w:val="center"/>
          </w:tcPr>
          <w:p w:rsidR="00426CF0" w:rsidRDefault="00582DC0">
            <w:pPr>
              <w:numPr>
                <w:ilvl w:val="0"/>
                <w:numId w:val="5"/>
              </w:numPr>
              <w:tabs>
                <w:tab w:val="clear" w:pos="720"/>
              </w:tabs>
              <w:ind w:left="181" w:hanging="181"/>
              <w:rPr>
                <w:rFonts w:ascii="Calibri" w:hAnsi="Calibri"/>
                <w:sz w:val="20"/>
                <w:szCs w:val="20"/>
              </w:rPr>
            </w:pPr>
            <w:r>
              <w:rPr>
                <w:rFonts w:ascii="Calibri" w:hAnsi="Calibri"/>
                <w:sz w:val="20"/>
                <w:szCs w:val="20"/>
              </w:rPr>
              <w:t>Profil de compétence</w:t>
            </w:r>
          </w:p>
        </w:tc>
      </w:tr>
    </w:tbl>
    <w:p w:rsidR="00426CF0" w:rsidRDefault="00426CF0">
      <w:pPr>
        <w:rPr>
          <w:rFonts w:ascii="Calibri" w:hAnsi="Calibri"/>
          <w:sz w:val="16"/>
          <w:szCs w:val="16"/>
        </w:rPr>
      </w:pPr>
    </w:p>
    <w:p w:rsidR="00426CF0" w:rsidRDefault="00426CF0">
      <w:pPr>
        <w:rPr>
          <w:rFonts w:ascii="Calibri" w:hAnsi="Calibri"/>
          <w:sz w:val="16"/>
          <w:szCs w:val="16"/>
        </w:rPr>
      </w:pPr>
    </w:p>
    <w:tbl>
      <w:tblPr>
        <w:tblW w:w="9900" w:type="dxa"/>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92"/>
        <w:gridCol w:w="7408"/>
      </w:tblGrid>
      <w:tr w:rsidR="00426CF0">
        <w:trPr>
          <w:trHeight w:val="1835"/>
        </w:trPr>
        <w:tc>
          <w:tcPr>
            <w:tcW w:w="2492" w:type="dxa"/>
            <w:tcBorders>
              <w:top w:val="nil"/>
              <w:left w:val="nil"/>
              <w:bottom w:val="nil"/>
              <w:right w:val="nil"/>
            </w:tcBorders>
          </w:tcPr>
          <w:p w:rsidR="00426CF0" w:rsidRDefault="00582DC0">
            <w:pPr>
              <w:rPr>
                <w:rFonts w:ascii="Calibri" w:hAnsi="Calibri"/>
                <w:b/>
                <w:color w:val="3265FF"/>
              </w:rPr>
            </w:pPr>
            <w:r>
              <w:rPr>
                <w:rFonts w:ascii="Calibri" w:hAnsi="Calibri"/>
                <w:b/>
                <w:color w:val="3265FF"/>
                <w:sz w:val="22"/>
                <w:szCs w:val="22"/>
              </w:rPr>
              <w:t xml:space="preserve">Mission(s) de l’entité (Direction, </w:t>
            </w:r>
            <w:r>
              <w:rPr>
                <w:rFonts w:ascii="Calibri" w:hAnsi="Calibri"/>
                <w:b/>
                <w:color w:val="3265FF"/>
                <w:sz w:val="22"/>
                <w:szCs w:val="22"/>
              </w:rPr>
              <w:br/>
              <w:t>Service, …) :</w:t>
            </w:r>
          </w:p>
        </w:tc>
        <w:tc>
          <w:tcPr>
            <w:tcW w:w="7408" w:type="dxa"/>
            <w:tcBorders>
              <w:top w:val="nil"/>
              <w:left w:val="nil"/>
              <w:bottom w:val="single" w:sz="4" w:space="0" w:color="3265FF"/>
              <w:right w:val="nil"/>
            </w:tcBorders>
          </w:tcPr>
          <w:p w:rsidR="00426CF0" w:rsidRDefault="00426CF0">
            <w:pPr>
              <w:ind w:left="360"/>
              <w:jc w:val="both"/>
              <w:rPr>
                <w:rFonts w:ascii="Calibri" w:hAnsi="Calibri"/>
                <w:sz w:val="22"/>
                <w:szCs w:val="22"/>
              </w:rPr>
            </w:pPr>
          </w:p>
          <w:p w:rsidR="00426CF0" w:rsidRDefault="00582DC0">
            <w:pPr>
              <w:spacing w:after="120"/>
              <w:ind w:left="360"/>
              <w:jc w:val="both"/>
              <w:rPr>
                <w:rFonts w:ascii="Calibri" w:hAnsi="Calibri"/>
                <w:sz w:val="22"/>
                <w:szCs w:val="22"/>
              </w:rPr>
            </w:pPr>
            <w:r>
              <w:rPr>
                <w:rFonts w:ascii="Calibri" w:hAnsi="Calibri"/>
                <w:sz w:val="22"/>
                <w:szCs w:val="22"/>
              </w:rPr>
              <w:t>Un Centre de Technologies Avancées (CTA) est une infrastructure reconnue par le Gouvernement de la Fédération Wallonie-Bruxelles, installée dans un établissement d’enseignement secondaire qualifiant et mettant des équipements de pointe à disposition des élèves, des étudiants et des enseignants des enseignements secondaire, supérieur et de promotion sociale, quels que soient le réseau et le caractère d’enseignement, ainsi que des apprentis et des formateurs de l’IFAPME/Espace Formation PME, des demandeurs d’emploi et des travailleurs. Cette offre de formation qualifiante doit être complémentaire, tant au niveau géographique que sectoriel, à l’offre des Centres de Compétence en Région wallonne et à celle des Centres de Référence professionnelle en Région bruxelloise.</w:t>
            </w:r>
          </w:p>
          <w:p w:rsidR="00426CF0" w:rsidRDefault="00582DC0">
            <w:pPr>
              <w:spacing w:after="120"/>
              <w:ind w:left="360"/>
              <w:jc w:val="both"/>
              <w:rPr>
                <w:rFonts w:ascii="Calibri" w:hAnsi="Calibri"/>
                <w:sz w:val="22"/>
                <w:szCs w:val="22"/>
              </w:rPr>
            </w:pPr>
            <w:r>
              <w:rPr>
                <w:rFonts w:ascii="Calibri" w:hAnsi="Calibri"/>
                <w:sz w:val="22"/>
                <w:szCs w:val="22"/>
              </w:rPr>
              <w:t>Les CTA sont développés en priorité pour les secteurs professionnels porteurs afin de fournir une offre de formation complémentaire à celle fournie dans les filières techniques et professionnelles. Il s’agit donc de répondre ainsi aux besoins des secteurs concernés (métiers en pénurie) en adaptant l’offre d’enseignement aux besoins socio-économiques présents et futurs des entreprises.</w:t>
            </w:r>
          </w:p>
          <w:p w:rsidR="00426CF0" w:rsidRDefault="00582DC0">
            <w:pPr>
              <w:spacing w:after="120"/>
              <w:ind w:left="360"/>
              <w:jc w:val="both"/>
              <w:rPr>
                <w:rFonts w:ascii="Calibri" w:hAnsi="Calibri"/>
                <w:sz w:val="22"/>
                <w:szCs w:val="22"/>
              </w:rPr>
            </w:pPr>
            <w:r>
              <w:rPr>
                <w:rFonts w:ascii="Calibri" w:hAnsi="Calibri"/>
                <w:sz w:val="22"/>
                <w:szCs w:val="22"/>
              </w:rPr>
              <w:t>Les CTA de la Fédération Wallonie-Bruxelles ont pour missions :</w:t>
            </w:r>
          </w:p>
          <w:p w:rsidR="00426CF0" w:rsidRDefault="00582DC0">
            <w:pPr>
              <w:numPr>
                <w:ilvl w:val="0"/>
                <w:numId w:val="43"/>
              </w:numPr>
              <w:spacing w:after="120"/>
              <w:ind w:left="847"/>
              <w:jc w:val="both"/>
              <w:rPr>
                <w:rFonts w:ascii="Calibri" w:hAnsi="Calibri"/>
                <w:sz w:val="22"/>
                <w:szCs w:val="22"/>
              </w:rPr>
            </w:pPr>
            <w:r>
              <w:rPr>
                <w:rFonts w:ascii="Calibri" w:hAnsi="Calibri"/>
                <w:sz w:val="22"/>
                <w:szCs w:val="22"/>
              </w:rPr>
              <w:t>de participer à l’amélioration de la qualité de la formation dispensée par les filières qualifiantes, à la refondation de l’enseignement qualifiant et au développement, au sein de la Fédération Wallonie-Bruxelles, d’une politique cohérente en matière d’investissements en équipements pédagogiques</w:t>
            </w:r>
          </w:p>
          <w:p w:rsidR="00426CF0" w:rsidRDefault="00582DC0">
            <w:pPr>
              <w:numPr>
                <w:ilvl w:val="0"/>
                <w:numId w:val="43"/>
              </w:numPr>
              <w:spacing w:after="120"/>
              <w:ind w:left="847"/>
              <w:jc w:val="both"/>
              <w:rPr>
                <w:rFonts w:ascii="Calibri" w:hAnsi="Calibri"/>
                <w:sz w:val="22"/>
                <w:szCs w:val="22"/>
              </w:rPr>
            </w:pPr>
            <w:r>
              <w:rPr>
                <w:rFonts w:ascii="Calibri" w:hAnsi="Calibri"/>
                <w:sz w:val="22"/>
                <w:szCs w:val="22"/>
              </w:rPr>
              <w:t>de mettre à disposition de leurs publics du matériel pédagogique de qualité</w:t>
            </w:r>
          </w:p>
          <w:p w:rsidR="00426CF0" w:rsidRDefault="00582DC0">
            <w:pPr>
              <w:numPr>
                <w:ilvl w:val="0"/>
                <w:numId w:val="43"/>
              </w:numPr>
              <w:spacing w:after="120"/>
              <w:ind w:left="847"/>
              <w:jc w:val="both"/>
              <w:rPr>
                <w:rFonts w:ascii="Calibri" w:hAnsi="Calibri"/>
                <w:sz w:val="22"/>
                <w:szCs w:val="22"/>
              </w:rPr>
            </w:pPr>
            <w:r>
              <w:rPr>
                <w:rFonts w:ascii="Calibri" w:hAnsi="Calibri"/>
                <w:sz w:val="22"/>
                <w:szCs w:val="22"/>
              </w:rPr>
              <w:t>de proposer des dispositifs complémentaires de formation à destination des enseignants et de leurs élèves, quels que soient le réseau et le caractère d’enseignement</w:t>
            </w:r>
          </w:p>
          <w:p w:rsidR="00426CF0" w:rsidRDefault="00582DC0">
            <w:pPr>
              <w:numPr>
                <w:ilvl w:val="0"/>
                <w:numId w:val="43"/>
              </w:numPr>
              <w:spacing w:after="120"/>
              <w:ind w:left="847"/>
              <w:jc w:val="both"/>
              <w:rPr>
                <w:rFonts w:ascii="Calibri" w:hAnsi="Calibri"/>
                <w:sz w:val="22"/>
                <w:szCs w:val="22"/>
              </w:rPr>
            </w:pPr>
            <w:r>
              <w:rPr>
                <w:rFonts w:ascii="Calibri" w:hAnsi="Calibri"/>
                <w:sz w:val="22"/>
                <w:szCs w:val="22"/>
              </w:rPr>
              <w:t>de proposer une offre de formation complémentaire aux réseaux des CDC et des CDR, tant au niveau thématique que pédagogique ou géographique</w:t>
            </w:r>
          </w:p>
          <w:p w:rsidR="00426CF0" w:rsidRDefault="00582DC0">
            <w:pPr>
              <w:numPr>
                <w:ilvl w:val="0"/>
                <w:numId w:val="43"/>
              </w:numPr>
              <w:spacing w:after="120"/>
              <w:ind w:left="847"/>
              <w:jc w:val="both"/>
              <w:rPr>
                <w:rFonts w:ascii="Calibri" w:hAnsi="Calibri"/>
                <w:sz w:val="22"/>
                <w:szCs w:val="22"/>
              </w:rPr>
            </w:pPr>
            <w:r>
              <w:rPr>
                <w:rFonts w:ascii="Calibri" w:hAnsi="Calibri"/>
                <w:sz w:val="22"/>
                <w:szCs w:val="22"/>
              </w:rPr>
              <w:t>d’établir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un descriptif de convergence avec les proﬁls de formation concernés,</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un descriptif des compétences requises de la part des enseignants/formateurs,</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 xml:space="preserve">un plan de formation en collaboration avec les centres de compétence et l'Institut de Formation Continuée et des associations </w:t>
            </w:r>
            <w:r>
              <w:rPr>
                <w:rFonts w:ascii="Calibri" w:hAnsi="Calibri"/>
                <w:sz w:val="22"/>
                <w:szCs w:val="22"/>
              </w:rPr>
              <w:lastRenderedPageBreak/>
              <w:t>pour la formation continuée des enseignants telles que FORCAR ou FCC</w:t>
            </w:r>
          </w:p>
          <w:p w:rsidR="00426CF0" w:rsidRDefault="00582DC0">
            <w:pPr>
              <w:numPr>
                <w:ilvl w:val="0"/>
                <w:numId w:val="45"/>
              </w:numPr>
              <w:tabs>
                <w:tab w:val="clear" w:pos="720"/>
              </w:tabs>
              <w:spacing w:after="120"/>
              <w:ind w:left="847" w:hanging="357"/>
              <w:jc w:val="both"/>
              <w:rPr>
                <w:rFonts w:ascii="Calibri" w:hAnsi="Calibri"/>
                <w:sz w:val="22"/>
                <w:szCs w:val="22"/>
              </w:rPr>
            </w:pPr>
            <w:r>
              <w:rPr>
                <w:rFonts w:ascii="Calibri" w:hAnsi="Calibri"/>
                <w:sz w:val="22"/>
                <w:szCs w:val="22"/>
              </w:rPr>
              <w:t>d’établir un programme de découverte d’un ou plusieurs métiers à destination des élèves du dernier cycle de l’enseignement primaire et du premier degré de l’enseignement secondaire.</w:t>
            </w:r>
          </w:p>
          <w:p w:rsidR="00426CF0" w:rsidRDefault="00582DC0">
            <w:pPr>
              <w:spacing w:after="120"/>
              <w:ind w:left="360"/>
              <w:jc w:val="both"/>
              <w:rPr>
                <w:rFonts w:ascii="Calibri" w:hAnsi="Calibri"/>
                <w:sz w:val="22"/>
                <w:szCs w:val="22"/>
              </w:rPr>
            </w:pPr>
            <w:r>
              <w:rPr>
                <w:rFonts w:ascii="Calibri" w:hAnsi="Calibri"/>
                <w:sz w:val="22"/>
                <w:szCs w:val="22"/>
              </w:rPr>
              <w:t>Le réseau des CTA compte actuellement 30 centres labellisés, 23 en Région wallonne et 7 en Région bruxelloise.</w:t>
            </w:r>
          </w:p>
          <w:p w:rsidR="00426CF0" w:rsidRDefault="00426CF0">
            <w:pPr>
              <w:ind w:left="360"/>
              <w:jc w:val="both"/>
              <w:rPr>
                <w:rFonts w:ascii="Calibri" w:hAnsi="Calibri"/>
                <w:sz w:val="22"/>
                <w:szCs w:val="22"/>
              </w:rPr>
            </w:pPr>
          </w:p>
        </w:tc>
      </w:tr>
      <w:tr w:rsidR="00426CF0">
        <w:trPr>
          <w:trHeight w:val="1241"/>
        </w:trPr>
        <w:tc>
          <w:tcPr>
            <w:tcW w:w="2492" w:type="dxa"/>
            <w:tcBorders>
              <w:top w:val="nil"/>
              <w:left w:val="nil"/>
              <w:bottom w:val="nil"/>
              <w:right w:val="nil"/>
            </w:tcBorders>
          </w:tcPr>
          <w:p w:rsidR="00426CF0" w:rsidRDefault="00426CF0">
            <w:pPr>
              <w:ind w:left="6"/>
              <w:rPr>
                <w:rFonts w:ascii="Calibri" w:hAnsi="Calibri"/>
                <w:b/>
                <w:color w:val="3265FF"/>
                <w:sz w:val="22"/>
                <w:szCs w:val="22"/>
              </w:rPr>
            </w:pPr>
          </w:p>
          <w:p w:rsidR="00426CF0" w:rsidRDefault="00582DC0">
            <w:pPr>
              <w:ind w:left="6"/>
              <w:rPr>
                <w:rFonts w:ascii="Calibri" w:hAnsi="Calibri"/>
                <w:b/>
                <w:color w:val="3265FF"/>
                <w:sz w:val="22"/>
                <w:szCs w:val="22"/>
              </w:rPr>
            </w:pPr>
            <w:r>
              <w:rPr>
                <w:rFonts w:ascii="Calibri" w:hAnsi="Calibri"/>
                <w:b/>
                <w:color w:val="3265FF"/>
                <w:sz w:val="22"/>
                <w:szCs w:val="22"/>
              </w:rPr>
              <w:t>Objectifs de la fonction :</w:t>
            </w:r>
          </w:p>
          <w:p w:rsidR="00426CF0" w:rsidRDefault="00426CF0">
            <w:pPr>
              <w:rPr>
                <w:rFonts w:ascii="Calibri" w:hAnsi="Calibri"/>
                <w:sz w:val="22"/>
                <w:szCs w:val="22"/>
              </w:rPr>
            </w:pPr>
          </w:p>
          <w:p w:rsidR="00426CF0" w:rsidRDefault="00426CF0">
            <w:pPr>
              <w:rPr>
                <w:rFonts w:ascii="Calibri" w:hAnsi="Calibri"/>
                <w:sz w:val="22"/>
                <w:szCs w:val="22"/>
              </w:rPr>
            </w:pPr>
          </w:p>
        </w:tc>
        <w:tc>
          <w:tcPr>
            <w:tcW w:w="7408" w:type="dxa"/>
            <w:tcBorders>
              <w:top w:val="single" w:sz="4" w:space="0" w:color="3265FF"/>
              <w:left w:val="nil"/>
              <w:bottom w:val="single" w:sz="4" w:space="0" w:color="3265FF"/>
              <w:right w:val="nil"/>
            </w:tcBorders>
          </w:tcPr>
          <w:p w:rsidR="00426CF0" w:rsidRDefault="00426CF0">
            <w:pPr>
              <w:ind w:left="360"/>
              <w:jc w:val="both"/>
              <w:rPr>
                <w:rFonts w:ascii="Calibri" w:hAnsi="Calibri"/>
                <w:sz w:val="22"/>
                <w:szCs w:val="22"/>
              </w:rPr>
            </w:pPr>
          </w:p>
          <w:p w:rsidR="00426CF0" w:rsidRDefault="00582DC0">
            <w:pPr>
              <w:spacing w:after="120" w:line="240" w:lineRule="exact"/>
              <w:ind w:left="422" w:right="251"/>
              <w:jc w:val="both"/>
              <w:rPr>
                <w:rFonts w:ascii="Calibri" w:hAnsi="Calibri"/>
                <w:sz w:val="22"/>
                <w:szCs w:val="22"/>
              </w:rPr>
            </w:pPr>
            <w:r>
              <w:rPr>
                <w:rFonts w:ascii="Calibri" w:hAnsi="Calibri"/>
                <w:sz w:val="22"/>
                <w:szCs w:val="22"/>
              </w:rPr>
              <w:t xml:space="preserve">Le Coordonnateur/la Coordonnatrice de Centre de Technologies Avancées assiste le chef de l’établissement qui héberge le CTA dans la gestion quotidienne du centre. </w:t>
            </w:r>
          </w:p>
          <w:p w:rsidR="00426CF0" w:rsidRDefault="00582DC0">
            <w:pPr>
              <w:spacing w:after="120" w:line="240" w:lineRule="exact"/>
              <w:ind w:left="422" w:right="251"/>
              <w:jc w:val="both"/>
              <w:rPr>
                <w:rFonts w:ascii="Calibri" w:hAnsi="Calibri"/>
                <w:sz w:val="22"/>
                <w:szCs w:val="22"/>
              </w:rPr>
            </w:pPr>
            <w:r>
              <w:rPr>
                <w:rFonts w:ascii="Calibri" w:hAnsi="Calibri"/>
                <w:sz w:val="22"/>
                <w:szCs w:val="22"/>
              </w:rPr>
              <w:t>Dans ce cadre, il/elle veille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à la bonne articulation des volets de formation, planifie les tâches et coordonne l’organisation des formations. Pour ce faire, il/elle travaille en étroite collaboration avec le formateur du CTA en ce qui concerne l’aspect pédagogique des formations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à la gestion administrative du centre : organisation des comités d’accompagnement, encodage des fréquentations, gestion des conventions d’occupation et des demandes de remboursement des frais de déplacement et d’hébergement, rédaction des rapports d’activités, collaboration à la conduite des marchés publics, etc.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à la gestion des équipements (mise à disposition, entretien, maintenance, etc.), sous la responsabilité du chef d’établissement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à stimuler la fréquentation du CTA en assurant sa promotion et en menant toutes les actions pertinentes afin d’augmenter sa visibilité auprès de tous les publics-cible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 xml:space="preserve">à accorder une attention particulière au développement des synergies avec ses partenaires du secteur de la formation professionnelle tel que les Centres de Compétence et/ou les Centres de référence professionnelle, mais aussi avec les entreprises et associations professionnelles ou tout autre organisme pouvant contribuer au développement du CTA. </w:t>
            </w:r>
          </w:p>
          <w:p w:rsidR="00426CF0" w:rsidRDefault="00582DC0">
            <w:pPr>
              <w:numPr>
                <w:ilvl w:val="0"/>
                <w:numId w:val="45"/>
              </w:numPr>
              <w:tabs>
                <w:tab w:val="clear" w:pos="720"/>
              </w:tabs>
              <w:spacing w:after="120"/>
              <w:ind w:left="845" w:hanging="357"/>
              <w:jc w:val="both"/>
              <w:rPr>
                <w:rFonts w:ascii="Calibri" w:hAnsi="Calibri"/>
                <w:sz w:val="22"/>
                <w:szCs w:val="22"/>
              </w:rPr>
            </w:pPr>
            <w:r>
              <w:rPr>
                <w:rFonts w:ascii="Calibri" w:hAnsi="Calibri"/>
                <w:sz w:val="22"/>
                <w:szCs w:val="22"/>
              </w:rPr>
              <w:t xml:space="preserve">à diversifier autant que possible la fréquentation de son centre en ouvrant celui-ci à tous les utilisateurs potentiels tels que définis dans le décret du 11/4/2014. </w:t>
            </w:r>
          </w:p>
          <w:p w:rsidR="00426CF0" w:rsidRDefault="00582DC0">
            <w:pPr>
              <w:spacing w:after="120" w:line="240" w:lineRule="exact"/>
              <w:ind w:left="422" w:right="251"/>
              <w:jc w:val="both"/>
              <w:rPr>
                <w:rFonts w:ascii="Calibri" w:hAnsi="Calibri"/>
                <w:sz w:val="22"/>
                <w:szCs w:val="22"/>
              </w:rPr>
            </w:pPr>
            <w:r>
              <w:rPr>
                <w:rFonts w:ascii="Calibri" w:hAnsi="Calibri"/>
                <w:sz w:val="22"/>
                <w:szCs w:val="22"/>
              </w:rPr>
              <w:t>Le Coordonnateur/la Coordonnatrice CTA exerce ses fonctions d’ordre technique, pédagogique et administratif dans le respect des dispositions légales, décrétales et réglementaires et plus particulièrement du décret du 24 juillet 1997 définissant les missions prioritaires de l’enseignement fondamental et de l’enseignement secondaire et organisant les structures propres à les atteindre et du décret du 11/4/2014 garantissant l’équipement de l’enseignement qualifiant et organisant les centres de technologies avancées.</w:t>
            </w:r>
          </w:p>
          <w:p w:rsidR="00426CF0" w:rsidRDefault="00426CF0">
            <w:pPr>
              <w:ind w:left="280"/>
              <w:jc w:val="both"/>
              <w:rPr>
                <w:rFonts w:ascii="Calibri" w:hAnsi="Calibri"/>
                <w:sz w:val="22"/>
                <w:szCs w:val="22"/>
              </w:rPr>
            </w:pPr>
          </w:p>
        </w:tc>
      </w:tr>
      <w:tr w:rsidR="00426CF0">
        <w:trPr>
          <w:trHeight w:val="6091"/>
        </w:trPr>
        <w:tc>
          <w:tcPr>
            <w:tcW w:w="2492" w:type="dxa"/>
            <w:tcBorders>
              <w:top w:val="nil"/>
              <w:left w:val="nil"/>
              <w:bottom w:val="nil"/>
              <w:right w:val="nil"/>
            </w:tcBorders>
          </w:tcPr>
          <w:p w:rsidR="00426CF0" w:rsidRDefault="00426CF0">
            <w:pPr>
              <w:rPr>
                <w:rFonts w:ascii="Calibri" w:hAnsi="Calibri"/>
                <w:b/>
                <w:color w:val="3265FF"/>
                <w:sz w:val="22"/>
                <w:szCs w:val="22"/>
              </w:rPr>
            </w:pPr>
          </w:p>
          <w:p w:rsidR="00426CF0" w:rsidRDefault="00582DC0">
            <w:pPr>
              <w:rPr>
                <w:rFonts w:ascii="Calibri" w:hAnsi="Calibri"/>
                <w:b/>
                <w:color w:val="3265FF"/>
                <w:sz w:val="22"/>
                <w:szCs w:val="22"/>
              </w:rPr>
            </w:pPr>
            <w:r>
              <w:rPr>
                <w:rFonts w:ascii="Calibri" w:hAnsi="Calibri"/>
                <w:b/>
                <w:color w:val="3265FF"/>
                <w:sz w:val="22"/>
                <w:szCs w:val="22"/>
              </w:rPr>
              <w:t>Domaines de résultats (tâches et responsabilités) :</w:t>
            </w:r>
          </w:p>
        </w:tc>
        <w:tc>
          <w:tcPr>
            <w:tcW w:w="7408" w:type="dxa"/>
            <w:tcBorders>
              <w:top w:val="single" w:sz="4" w:space="0" w:color="3265FF"/>
              <w:left w:val="nil"/>
              <w:bottom w:val="single" w:sz="4" w:space="0" w:color="3265FF"/>
              <w:right w:val="nil"/>
            </w:tcBorders>
          </w:tcPr>
          <w:p w:rsidR="00426CF0" w:rsidRDefault="00426CF0">
            <w:pPr>
              <w:ind w:left="360"/>
              <w:jc w:val="both"/>
              <w:rPr>
                <w:rFonts w:ascii="Calibri" w:hAnsi="Calibri"/>
                <w:sz w:val="22"/>
                <w:szCs w:val="22"/>
              </w:rPr>
            </w:pPr>
          </w:p>
          <w:p w:rsidR="00426CF0" w:rsidRDefault="00582DC0">
            <w:pPr>
              <w:spacing w:after="120"/>
              <w:ind w:left="360"/>
              <w:jc w:val="both"/>
              <w:rPr>
                <w:rFonts w:ascii="Calibri" w:hAnsi="Calibri"/>
                <w:sz w:val="22"/>
                <w:szCs w:val="22"/>
              </w:rPr>
            </w:pPr>
            <w:r>
              <w:rPr>
                <w:rFonts w:ascii="Calibri" w:hAnsi="Calibri"/>
                <w:sz w:val="22"/>
                <w:szCs w:val="22"/>
              </w:rPr>
              <w:t>En tant que Coordonnateur/Coordonnatrice d’un Centre de Technologies Avancées, vous êtes amené à assurer les tâches et responsabilités suivantes :</w:t>
            </w:r>
          </w:p>
          <w:p w:rsidR="00426CF0" w:rsidRDefault="00582DC0">
            <w:pPr>
              <w:numPr>
                <w:ilvl w:val="0"/>
                <w:numId w:val="43"/>
              </w:numPr>
              <w:spacing w:after="120"/>
              <w:ind w:left="847"/>
              <w:jc w:val="both"/>
              <w:rPr>
                <w:rFonts w:asciiTheme="minorHAnsi" w:hAnsiTheme="minorHAnsi" w:cstheme="minorHAnsi"/>
                <w:sz w:val="22"/>
                <w:szCs w:val="22"/>
              </w:rPr>
            </w:pPr>
            <w:r>
              <w:rPr>
                <w:rFonts w:asciiTheme="minorHAnsi" w:hAnsiTheme="minorHAnsi" w:cstheme="minorHAnsi"/>
                <w:b/>
                <w:bCs/>
                <w:w w:val="110"/>
                <w:sz w:val="22"/>
                <w:szCs w:val="22"/>
                <w:lang w:val="fr-BE"/>
              </w:rPr>
              <w:t>Assurer la gestion administrative du CTA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assure la partie administrative de la gestion du centre : rédaction du rapport annuel d’activités, suivi des fréquentations, suivi administratif du déroulement des formations (listes de présences, encodage, dossiers récapitulatifs, frais de déplacement, etc.)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rédiger les conventions d’occupation et assurer le suivi de leur signature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gérer la comptabilité du CTA en collaboration avec l’économe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collaborer avec l’Administration pour la conduite des marchés publics d’acquisition du matériel (rédaction clauses techniques, analyse des offres)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organiser, participer et assurer le secrétariat des réunions du comité d’accompagnement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organiser l’accueil des élèves en formation.</w:t>
            </w:r>
          </w:p>
          <w:p w:rsidR="00426CF0" w:rsidRDefault="00582DC0">
            <w:pPr>
              <w:numPr>
                <w:ilvl w:val="0"/>
                <w:numId w:val="43"/>
              </w:numPr>
              <w:spacing w:after="120"/>
              <w:ind w:left="847"/>
              <w:jc w:val="both"/>
              <w:rPr>
                <w:rFonts w:asciiTheme="minorHAnsi" w:hAnsiTheme="minorHAnsi" w:cstheme="minorHAnsi"/>
                <w:b/>
                <w:bCs/>
                <w:w w:val="110"/>
                <w:sz w:val="22"/>
                <w:szCs w:val="22"/>
                <w:lang w:val="fr-BE"/>
              </w:rPr>
            </w:pPr>
            <w:r>
              <w:rPr>
                <w:rFonts w:asciiTheme="minorHAnsi" w:hAnsiTheme="minorHAnsi" w:cstheme="minorHAnsi"/>
                <w:b/>
                <w:bCs/>
                <w:w w:val="110"/>
                <w:sz w:val="22"/>
                <w:szCs w:val="22"/>
                <w:lang w:val="fr-BE"/>
              </w:rPr>
              <w:t>Assurer la gestion pédagogique et éducative (en collaboration avec le formateur CTA)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planifier, organiser et suivre le bon déroulement des formations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 à la bonne articulation des modules de formation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vérifier, en collaboration avec le chef d'établissement, la validité des compétences des formateurs.</w:t>
            </w:r>
          </w:p>
          <w:p w:rsidR="00426CF0" w:rsidRDefault="00582DC0">
            <w:pPr>
              <w:numPr>
                <w:ilvl w:val="0"/>
                <w:numId w:val="43"/>
              </w:numPr>
              <w:spacing w:after="120"/>
              <w:ind w:left="847"/>
              <w:jc w:val="both"/>
              <w:rPr>
                <w:rFonts w:asciiTheme="minorHAnsi" w:hAnsiTheme="minorHAnsi" w:cstheme="minorHAnsi"/>
                <w:b/>
                <w:bCs/>
                <w:w w:val="110"/>
                <w:sz w:val="22"/>
                <w:szCs w:val="22"/>
                <w:lang w:val="fr-BE"/>
              </w:rPr>
            </w:pPr>
            <w:r>
              <w:rPr>
                <w:rFonts w:asciiTheme="minorHAnsi" w:hAnsiTheme="minorHAnsi" w:cstheme="minorHAnsi"/>
                <w:b/>
                <w:bCs/>
                <w:w w:val="110"/>
                <w:sz w:val="22"/>
                <w:szCs w:val="22"/>
                <w:lang w:val="fr-BE"/>
              </w:rPr>
              <w:t>Assurer la gestion technique des équipements (en collaboration avec le formateur CTA)</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veiller au bon état de fonctionnement des équipements mis à disposition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se tenir informé de l’évolution des technologies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gérer les matières premières nécessaires aux formations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veiller à la sécurité des personnes et des biens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veiller, en collaboration avec le conseiller en prévention de l’établissement, au respect du code sur le bien-être au travail (Loi du 4 août 1996)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s’assurer du respect des législations spécifiques en matière de prévention des accidents du travail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dans le respect des réglementations spécifiques et en collaboration avec le conseiller en prévention de l’établissement, assurer la gestion et l’élimination des déchets produits lors des formations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veiller, après obtention des autorisations réglementairement requises, à l’aménagement, l’amélioration et l’embellissement des lieux de travail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gérer les relations avec les agents commerciaux et les fournisseurs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en collaboration avec l’économe de l’établissement scolaire, assurer le contrôle des inventaires relatifs aux matières premières, aux outillages et aux machines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 xml:space="preserve">s’assurer de l’exécution correcte des travaux de maintenance de </w:t>
            </w:r>
            <w:r>
              <w:rPr>
                <w:rFonts w:ascii="Calibri" w:hAnsi="Calibri"/>
                <w:sz w:val="22"/>
                <w:szCs w:val="22"/>
              </w:rPr>
              <w:lastRenderedPageBreak/>
              <w:t>premier niveau et d’entretien des machines, des outillages et des équipements, en adéquation avec les prescriptions des constructeurs.</w:t>
            </w:r>
          </w:p>
          <w:p w:rsidR="00426CF0" w:rsidRDefault="00582DC0">
            <w:pPr>
              <w:numPr>
                <w:ilvl w:val="0"/>
                <w:numId w:val="43"/>
              </w:numPr>
              <w:spacing w:after="120"/>
              <w:ind w:left="847"/>
              <w:jc w:val="both"/>
              <w:rPr>
                <w:rFonts w:asciiTheme="minorHAnsi" w:hAnsiTheme="minorHAnsi" w:cstheme="minorHAnsi"/>
                <w:b/>
                <w:bCs/>
                <w:w w:val="110"/>
                <w:sz w:val="22"/>
                <w:szCs w:val="22"/>
                <w:lang w:val="fr-BE"/>
              </w:rPr>
            </w:pPr>
            <w:r>
              <w:rPr>
                <w:rFonts w:asciiTheme="minorHAnsi" w:hAnsiTheme="minorHAnsi" w:cstheme="minorHAnsi"/>
                <w:b/>
                <w:bCs/>
                <w:w w:val="110"/>
                <w:sz w:val="22"/>
                <w:szCs w:val="22"/>
                <w:lang w:val="fr-BE"/>
              </w:rPr>
              <w:t>Assurer la gestion des relations avec les utilisateurs des CTA et les tiers</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contribuer activement à étendre la visibilité du centre en prenant toutes les actions de promotion que le Comité d’accompagnement juge pertinentes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accueillir tous les publics par les textes réglementaires sans discrimination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participer à l’organisation de la communication des informations et en assure la diffusion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veiller à garantir de saines collaborations, dans le respect des conventions ;</w:t>
            </w:r>
          </w:p>
          <w:p w:rsidR="00426CF0" w:rsidRDefault="00582DC0">
            <w:pPr>
              <w:numPr>
                <w:ilvl w:val="0"/>
                <w:numId w:val="44"/>
              </w:numPr>
              <w:tabs>
                <w:tab w:val="clear" w:pos="2160"/>
                <w:tab w:val="num" w:pos="1134"/>
              </w:tabs>
              <w:spacing w:after="120"/>
              <w:ind w:left="1130" w:hanging="357"/>
              <w:jc w:val="both"/>
              <w:rPr>
                <w:rFonts w:ascii="Calibri" w:hAnsi="Calibri"/>
                <w:sz w:val="22"/>
                <w:szCs w:val="22"/>
              </w:rPr>
            </w:pPr>
            <w:r>
              <w:rPr>
                <w:rFonts w:ascii="Calibri" w:hAnsi="Calibri"/>
                <w:sz w:val="22"/>
                <w:szCs w:val="22"/>
              </w:rPr>
              <w:t>établir et entretenir des contacts positifs avec les milieux socio-économiques locaux et régionaux, les secteurs et associations professionnelles, les entreprises, les Centres de Compétence et de Référence professionnelle et tout autre Centre de formation professionnelle concerné.</w:t>
            </w:r>
          </w:p>
          <w:p w:rsidR="00426CF0" w:rsidRDefault="00426CF0">
            <w:pPr>
              <w:spacing w:after="120"/>
              <w:ind w:left="360"/>
              <w:jc w:val="both"/>
              <w:rPr>
                <w:rFonts w:ascii="Calibri" w:hAnsi="Calibri"/>
                <w:sz w:val="22"/>
                <w:szCs w:val="22"/>
              </w:rPr>
            </w:pPr>
          </w:p>
        </w:tc>
      </w:tr>
      <w:tr w:rsidR="00426CF0">
        <w:trPr>
          <w:trHeight w:val="840"/>
        </w:trPr>
        <w:tc>
          <w:tcPr>
            <w:tcW w:w="2492" w:type="dxa"/>
            <w:vMerge w:val="restart"/>
            <w:tcBorders>
              <w:top w:val="nil"/>
              <w:left w:val="nil"/>
              <w:bottom w:val="nil"/>
              <w:right w:val="nil"/>
            </w:tcBorders>
          </w:tcPr>
          <w:p w:rsidR="00426CF0" w:rsidRDefault="00582DC0">
            <w:pPr>
              <w:rPr>
                <w:rFonts w:ascii="Calibri" w:hAnsi="Calibri"/>
                <w:b/>
                <w:color w:val="3265FF"/>
                <w:sz w:val="22"/>
                <w:szCs w:val="22"/>
              </w:rPr>
            </w:pPr>
            <w:r>
              <w:rPr>
                <w:rFonts w:ascii="Calibri" w:hAnsi="Calibri"/>
                <w:b/>
                <w:color w:val="3265FF"/>
                <w:sz w:val="22"/>
                <w:szCs w:val="22"/>
              </w:rPr>
              <w:lastRenderedPageBreak/>
              <w:t>Relations hiérarchiques :</w:t>
            </w:r>
          </w:p>
        </w:tc>
        <w:tc>
          <w:tcPr>
            <w:tcW w:w="7408" w:type="dxa"/>
            <w:tcBorders>
              <w:top w:val="single" w:sz="4" w:space="0" w:color="3265FF"/>
              <w:left w:val="nil"/>
              <w:bottom w:val="single" w:sz="4" w:space="0" w:color="3265FF"/>
              <w:right w:val="nil"/>
            </w:tcBorders>
          </w:tcPr>
          <w:p w:rsidR="00426CF0" w:rsidRDefault="00426CF0">
            <w:pPr>
              <w:rPr>
                <w:rFonts w:ascii="Calibri" w:hAnsi="Calibri"/>
                <w:sz w:val="22"/>
                <w:szCs w:val="22"/>
              </w:rPr>
            </w:pPr>
          </w:p>
          <w:p w:rsidR="00426CF0" w:rsidRDefault="00582DC0">
            <w:pPr>
              <w:rPr>
                <w:rFonts w:ascii="Calibri" w:hAnsi="Calibri"/>
                <w:sz w:val="22"/>
                <w:szCs w:val="22"/>
              </w:rPr>
            </w:pPr>
            <w:r>
              <w:rPr>
                <w:rFonts w:ascii="Calibri" w:hAnsi="Calibri"/>
                <w:b/>
                <w:sz w:val="22"/>
                <w:szCs w:val="22"/>
              </w:rPr>
              <w:t>Responsables hiérarchiques :</w:t>
            </w:r>
            <w:r>
              <w:rPr>
                <w:rFonts w:ascii="Calibri" w:hAnsi="Calibri"/>
                <w:sz w:val="22"/>
                <w:szCs w:val="22"/>
              </w:rPr>
              <w:t xml:space="preserve"> Le chef de l’établissement accueillant le CTA</w:t>
            </w:r>
          </w:p>
          <w:p w:rsidR="00426CF0" w:rsidRDefault="00426CF0">
            <w:pPr>
              <w:rPr>
                <w:rFonts w:ascii="Calibri" w:hAnsi="Calibri"/>
                <w:sz w:val="22"/>
                <w:szCs w:val="22"/>
              </w:rPr>
            </w:pPr>
          </w:p>
        </w:tc>
      </w:tr>
      <w:tr w:rsidR="00426CF0">
        <w:trPr>
          <w:trHeight w:val="895"/>
        </w:trPr>
        <w:tc>
          <w:tcPr>
            <w:tcW w:w="2492" w:type="dxa"/>
            <w:vMerge/>
            <w:tcBorders>
              <w:top w:val="nil"/>
              <w:left w:val="nil"/>
              <w:bottom w:val="nil"/>
              <w:right w:val="nil"/>
            </w:tcBorders>
          </w:tcPr>
          <w:p w:rsidR="00426CF0" w:rsidRDefault="00426CF0">
            <w:pPr>
              <w:numPr>
                <w:ilvl w:val="0"/>
                <w:numId w:val="19"/>
              </w:numPr>
              <w:rPr>
                <w:rFonts w:ascii="Calibri" w:hAnsi="Calibri"/>
                <w:b/>
                <w:color w:val="3265FF"/>
                <w:sz w:val="22"/>
                <w:szCs w:val="22"/>
              </w:rPr>
            </w:pPr>
          </w:p>
        </w:tc>
        <w:tc>
          <w:tcPr>
            <w:tcW w:w="7408" w:type="dxa"/>
            <w:tcBorders>
              <w:top w:val="single" w:sz="4" w:space="0" w:color="3265FF"/>
              <w:left w:val="nil"/>
              <w:bottom w:val="single" w:sz="4" w:space="0" w:color="3265FF"/>
              <w:right w:val="nil"/>
            </w:tcBorders>
          </w:tcPr>
          <w:p w:rsidR="00426CF0" w:rsidRDefault="00426CF0">
            <w:pPr>
              <w:rPr>
                <w:rFonts w:ascii="Calibri" w:hAnsi="Calibri"/>
                <w:sz w:val="22"/>
                <w:szCs w:val="22"/>
              </w:rPr>
            </w:pPr>
          </w:p>
          <w:p w:rsidR="00426CF0" w:rsidRDefault="00582DC0">
            <w:pPr>
              <w:rPr>
                <w:rFonts w:ascii="Calibri" w:hAnsi="Calibri"/>
                <w:sz w:val="22"/>
                <w:szCs w:val="22"/>
              </w:rPr>
            </w:pPr>
            <w:r>
              <w:rPr>
                <w:rFonts w:ascii="Calibri" w:hAnsi="Calibri"/>
                <w:b/>
                <w:sz w:val="22"/>
                <w:szCs w:val="22"/>
              </w:rPr>
              <w:t>Nombre de collaborateurs à gérer :</w:t>
            </w:r>
            <w:r>
              <w:rPr>
                <w:rFonts w:ascii="Calibri" w:hAnsi="Calibri"/>
                <w:sz w:val="22"/>
                <w:szCs w:val="22"/>
              </w:rPr>
              <w:t xml:space="preserve"> aucun</w:t>
            </w:r>
          </w:p>
        </w:tc>
      </w:tr>
    </w:tbl>
    <w:p w:rsidR="00426CF0" w:rsidRDefault="00426CF0">
      <w:pPr>
        <w:rPr>
          <w:rFonts w:ascii="Calibri" w:hAnsi="Calibri"/>
          <w:sz w:val="16"/>
          <w:szCs w:val="16"/>
        </w:rPr>
      </w:pPr>
    </w:p>
    <w:tbl>
      <w:tblPr>
        <w:tblW w:w="3690" w:type="dxa"/>
        <w:tblInd w:w="400" w:type="dxa"/>
        <w:tblBorders>
          <w:insideH w:val="single" w:sz="24" w:space="0" w:color="auto"/>
          <w:insideV w:val="single" w:sz="24" w:space="0" w:color="FFFFFF"/>
        </w:tblBorders>
        <w:shd w:val="clear" w:color="auto" w:fill="C0C0C0"/>
        <w:tblCellMar>
          <w:left w:w="70" w:type="dxa"/>
          <w:right w:w="70" w:type="dxa"/>
        </w:tblCellMar>
        <w:tblLook w:val="0000" w:firstRow="0" w:lastRow="0" w:firstColumn="0" w:lastColumn="0" w:noHBand="0" w:noVBand="0"/>
      </w:tblPr>
      <w:tblGrid>
        <w:gridCol w:w="1846"/>
        <w:gridCol w:w="1844"/>
      </w:tblGrid>
      <w:tr w:rsidR="00426CF0">
        <w:trPr>
          <w:trHeight w:val="720"/>
        </w:trPr>
        <w:tc>
          <w:tcPr>
            <w:tcW w:w="1846" w:type="dxa"/>
            <w:tcBorders>
              <w:top w:val="nil"/>
              <w:left w:val="single" w:sz="24" w:space="0" w:color="FFFFFF"/>
              <w:bottom w:val="nil"/>
              <w:right w:val="nil"/>
            </w:tcBorders>
            <w:shd w:val="clear" w:color="auto" w:fill="C0C0C0"/>
            <w:vAlign w:val="center"/>
          </w:tcPr>
          <w:p w:rsidR="00426CF0" w:rsidRDefault="00582DC0">
            <w:pPr>
              <w:numPr>
                <w:ilvl w:val="0"/>
                <w:numId w:val="4"/>
              </w:numPr>
              <w:ind w:left="181" w:hanging="181"/>
              <w:rPr>
                <w:rFonts w:ascii="Calibri" w:hAnsi="Calibri"/>
                <w:sz w:val="20"/>
                <w:szCs w:val="20"/>
              </w:rPr>
            </w:pPr>
            <w:r>
              <w:rPr>
                <w:rFonts w:ascii="Calibri" w:hAnsi="Calibri"/>
                <w:sz w:val="20"/>
                <w:szCs w:val="20"/>
              </w:rPr>
              <w:t>Identité fonctionnelle</w:t>
            </w:r>
          </w:p>
        </w:tc>
        <w:tc>
          <w:tcPr>
            <w:tcW w:w="1844" w:type="dxa"/>
            <w:tcBorders>
              <w:top w:val="nil"/>
              <w:left w:val="nil"/>
              <w:bottom w:val="nil"/>
              <w:right w:val="single" w:sz="24" w:space="0" w:color="FFFFFF"/>
            </w:tcBorders>
            <w:shd w:val="clear" w:color="auto" w:fill="3265FF"/>
            <w:vAlign w:val="center"/>
          </w:tcPr>
          <w:p w:rsidR="00426CF0" w:rsidRDefault="00582DC0">
            <w:pPr>
              <w:numPr>
                <w:ilvl w:val="0"/>
                <w:numId w:val="4"/>
              </w:numPr>
              <w:ind w:left="181" w:hanging="181"/>
              <w:rPr>
                <w:rFonts w:ascii="Calibri" w:hAnsi="Calibri"/>
                <w:b/>
                <w:color w:val="FFFFFF"/>
                <w:sz w:val="20"/>
                <w:szCs w:val="20"/>
              </w:rPr>
            </w:pPr>
            <w:r>
              <w:rPr>
                <w:rFonts w:ascii="Calibri" w:hAnsi="Calibri"/>
                <w:b/>
                <w:color w:val="FFFFFF"/>
                <w:sz w:val="20"/>
                <w:szCs w:val="20"/>
              </w:rPr>
              <w:t>Profil de compétence</w:t>
            </w:r>
          </w:p>
        </w:tc>
      </w:tr>
    </w:tbl>
    <w:p w:rsidR="00426CF0" w:rsidRDefault="00426CF0">
      <w:pPr>
        <w:rPr>
          <w:rFonts w:ascii="Calibri" w:hAnsi="Calibri"/>
          <w:sz w:val="16"/>
          <w:szCs w:val="16"/>
        </w:rPr>
      </w:pPr>
    </w:p>
    <w:p w:rsidR="00426CF0" w:rsidRDefault="00426CF0">
      <w:pPr>
        <w:rPr>
          <w:rFonts w:ascii="Calibri" w:hAnsi="Calibri"/>
          <w:sz w:val="16"/>
          <w:szCs w:val="16"/>
        </w:rPr>
      </w:pPr>
    </w:p>
    <w:tbl>
      <w:tblPr>
        <w:tblW w:w="9900" w:type="dxa"/>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01"/>
        <w:gridCol w:w="4519"/>
        <w:gridCol w:w="720"/>
        <w:gridCol w:w="720"/>
        <w:gridCol w:w="720"/>
        <w:gridCol w:w="720"/>
      </w:tblGrid>
      <w:tr w:rsidR="00426CF0">
        <w:trPr>
          <w:trHeight w:val="540"/>
        </w:trPr>
        <w:tc>
          <w:tcPr>
            <w:tcW w:w="2501" w:type="dxa"/>
            <w:vMerge w:val="restart"/>
            <w:tcBorders>
              <w:top w:val="nil"/>
              <w:left w:val="nil"/>
              <w:bottom w:val="nil"/>
              <w:right w:val="single" w:sz="4" w:space="0" w:color="auto"/>
            </w:tcBorders>
          </w:tcPr>
          <w:p w:rsidR="00426CF0" w:rsidRDefault="00582DC0">
            <w:pPr>
              <w:rPr>
                <w:rFonts w:ascii="Calibri" w:hAnsi="Calibri"/>
                <w:b/>
                <w:color w:val="3265FF"/>
                <w:sz w:val="22"/>
                <w:szCs w:val="22"/>
              </w:rPr>
            </w:pPr>
            <w:r>
              <w:rPr>
                <w:rFonts w:ascii="Calibri" w:hAnsi="Calibri"/>
                <w:b/>
                <w:color w:val="3265FF"/>
                <w:sz w:val="22"/>
                <w:szCs w:val="22"/>
              </w:rPr>
              <w:t>Compétences spécifiques / techniques à acquérir ou souhaitées pour exercer la fonction « à terme » :</w:t>
            </w:r>
          </w:p>
        </w:tc>
        <w:tc>
          <w:tcPr>
            <w:tcW w:w="4519" w:type="dxa"/>
            <w:vMerge w:val="restart"/>
            <w:tcBorders>
              <w:top w:val="single" w:sz="4" w:space="0" w:color="auto"/>
              <w:left w:val="single" w:sz="4" w:space="0" w:color="auto"/>
              <w:right w:val="single" w:sz="4" w:space="0" w:color="auto"/>
            </w:tcBorders>
          </w:tcPr>
          <w:p w:rsidR="00426CF0" w:rsidRDefault="00426CF0">
            <w:pPr>
              <w:jc w:val="center"/>
              <w:rPr>
                <w:rFonts w:ascii="Calibri" w:hAnsi="Calibri"/>
                <w:sz w:val="22"/>
                <w:szCs w:val="22"/>
              </w:rPr>
            </w:pPr>
          </w:p>
        </w:tc>
        <w:tc>
          <w:tcPr>
            <w:tcW w:w="2160"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426CF0" w:rsidRDefault="00582DC0">
            <w:pPr>
              <w:jc w:val="center"/>
              <w:rPr>
                <w:rFonts w:ascii="Calibri" w:hAnsi="Calibri"/>
                <w:sz w:val="20"/>
                <w:szCs w:val="20"/>
              </w:rPr>
            </w:pPr>
            <w:r>
              <w:rPr>
                <w:rFonts w:ascii="Calibri" w:hAnsi="Calibri"/>
                <w:sz w:val="20"/>
                <w:szCs w:val="20"/>
              </w:rPr>
              <w:t>Requises</w:t>
            </w:r>
          </w:p>
        </w:tc>
        <w:tc>
          <w:tcPr>
            <w:tcW w:w="720" w:type="dxa"/>
            <w:vMerge w:val="restart"/>
            <w:tcBorders>
              <w:top w:val="single" w:sz="4" w:space="0" w:color="auto"/>
              <w:left w:val="single" w:sz="4" w:space="0" w:color="auto"/>
              <w:right w:val="single" w:sz="4" w:space="0" w:color="auto"/>
            </w:tcBorders>
            <w:shd w:val="clear" w:color="auto" w:fill="C0C0C0"/>
            <w:vAlign w:val="center"/>
          </w:tcPr>
          <w:p w:rsidR="00426CF0" w:rsidRDefault="00582DC0">
            <w:pPr>
              <w:jc w:val="center"/>
              <w:rPr>
                <w:rFonts w:ascii="Calibri" w:hAnsi="Calibri"/>
                <w:sz w:val="20"/>
                <w:szCs w:val="20"/>
              </w:rPr>
            </w:pPr>
            <w:r>
              <w:rPr>
                <w:rFonts w:ascii="Calibri" w:hAnsi="Calibri"/>
                <w:sz w:val="20"/>
                <w:szCs w:val="20"/>
              </w:rPr>
              <w:t>Atouts</w:t>
            </w:r>
          </w:p>
        </w:tc>
      </w:tr>
      <w:tr w:rsidR="00426CF0">
        <w:trPr>
          <w:trHeight w:val="90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vMerge/>
            <w:tcBorders>
              <w:left w:val="single" w:sz="4" w:space="0" w:color="auto"/>
              <w:right w:val="single" w:sz="4" w:space="0" w:color="auto"/>
            </w:tcBorders>
          </w:tcPr>
          <w:p w:rsidR="00426CF0" w:rsidRDefault="00426CF0">
            <w:pPr>
              <w:jc w:val="center"/>
              <w:rPr>
                <w:rFonts w:ascii="Calibri" w:hAnsi="Calibri"/>
                <w:sz w:val="22"/>
                <w:szCs w:val="22"/>
              </w:rPr>
            </w:pP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rPr>
                <w:rFonts w:ascii="Calibri" w:hAnsi="Calibri"/>
                <w:sz w:val="16"/>
                <w:szCs w:val="16"/>
              </w:rPr>
            </w:pPr>
            <w:r>
              <w:rPr>
                <w:rFonts w:ascii="Calibri" w:hAnsi="Calibri"/>
                <w:sz w:val="16"/>
                <w:szCs w:val="16"/>
              </w:rPr>
              <w:t>Elémen-</w:t>
            </w:r>
          </w:p>
          <w:p w:rsidR="00426CF0" w:rsidRDefault="00582DC0">
            <w:pPr>
              <w:jc w:val="center"/>
              <w:rPr>
                <w:rFonts w:ascii="Calibri" w:hAnsi="Calibri"/>
                <w:sz w:val="16"/>
                <w:szCs w:val="16"/>
              </w:rPr>
            </w:pPr>
            <w:r>
              <w:rPr>
                <w:rFonts w:ascii="Calibri" w:hAnsi="Calibri"/>
                <w:sz w:val="16"/>
                <w:szCs w:val="16"/>
              </w:rPr>
              <w:t>taires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rPr>
                <w:rFonts w:ascii="Calibri" w:hAnsi="Calibri"/>
                <w:sz w:val="16"/>
                <w:szCs w:val="16"/>
              </w:rPr>
            </w:pPr>
            <w:r>
              <w:rPr>
                <w:rFonts w:ascii="Calibri" w:hAnsi="Calibri"/>
                <w:sz w:val="16"/>
                <w:szCs w:val="16"/>
              </w:rPr>
              <w:t>Bonnes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rPr>
                <w:rFonts w:ascii="Calibri" w:hAnsi="Calibri"/>
                <w:sz w:val="16"/>
                <w:szCs w:val="16"/>
              </w:rPr>
            </w:pPr>
            <w:r>
              <w:rPr>
                <w:rFonts w:ascii="Calibri" w:hAnsi="Calibri"/>
                <w:sz w:val="16"/>
                <w:szCs w:val="16"/>
              </w:rPr>
              <w:t>Appro-</w:t>
            </w:r>
          </w:p>
          <w:p w:rsidR="00426CF0" w:rsidRDefault="00582DC0">
            <w:pPr>
              <w:jc w:val="center"/>
              <w:rPr>
                <w:rFonts w:ascii="Calibri" w:hAnsi="Calibri"/>
                <w:sz w:val="16"/>
                <w:szCs w:val="16"/>
              </w:rPr>
            </w:pPr>
            <w:r>
              <w:rPr>
                <w:rFonts w:ascii="Calibri" w:hAnsi="Calibri"/>
                <w:sz w:val="16"/>
                <w:szCs w:val="16"/>
              </w:rPr>
              <w:t>Fondies</w:t>
            </w:r>
          </w:p>
        </w:tc>
        <w:tc>
          <w:tcPr>
            <w:tcW w:w="720" w:type="dxa"/>
            <w:vMerge/>
            <w:tcBorders>
              <w:left w:val="single" w:sz="4" w:space="0" w:color="auto"/>
              <w:right w:val="single" w:sz="4" w:space="0" w:color="auto"/>
            </w:tcBorders>
          </w:tcPr>
          <w:p w:rsidR="00426CF0" w:rsidRDefault="00426CF0">
            <w:pPr>
              <w:jc w:val="center"/>
              <w:rPr>
                <w:rFonts w:ascii="Calibri" w:hAnsi="Calibri"/>
                <w:sz w:val="16"/>
                <w:szCs w:val="16"/>
              </w:rPr>
            </w:pPr>
          </w:p>
        </w:tc>
      </w:tr>
      <w:tr w:rsidR="00426CF0">
        <w:trPr>
          <w:trHeight w:val="284"/>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7399" w:type="dxa"/>
            <w:gridSpan w:val="5"/>
            <w:tcBorders>
              <w:left w:val="single" w:sz="4" w:space="0" w:color="auto"/>
              <w:right w:val="single" w:sz="4" w:space="0" w:color="auto"/>
            </w:tcBorders>
            <w:vAlign w:val="center"/>
          </w:tcPr>
          <w:p w:rsidR="00426CF0" w:rsidRDefault="00582DC0">
            <w:r>
              <w:rPr>
                <w:rFonts w:ascii="Calibri" w:hAnsi="Calibri"/>
                <w:b/>
                <w:sz w:val="22"/>
                <w:szCs w:val="22"/>
              </w:rPr>
              <w:t>Réglementation :</w:t>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des principaux textes légaux fondateurs de l’Enseignement obligatoire :</w:t>
            </w:r>
          </w:p>
          <w:p w:rsidR="00426CF0" w:rsidRDefault="00426CF0">
            <w:pPr>
              <w:rPr>
                <w:rFonts w:ascii="Calibri" w:hAnsi="Calibri"/>
                <w:sz w:val="22"/>
                <w:szCs w:val="22"/>
              </w:rPr>
            </w:pPr>
          </w:p>
          <w:p w:rsidR="00426CF0" w:rsidRDefault="00582DC0">
            <w:pPr>
              <w:pStyle w:val="Paragraphedeliste"/>
              <w:numPr>
                <w:ilvl w:val="0"/>
                <w:numId w:val="37"/>
              </w:numPr>
              <w:rPr>
                <w:i/>
              </w:rPr>
            </w:pPr>
            <w:r>
              <w:rPr>
                <w:rFonts w:ascii="Calibri" w:hAnsi="Calibri"/>
                <w:i/>
                <w:sz w:val="22"/>
                <w:szCs w:val="22"/>
              </w:rPr>
              <w:t>Décret mission du 24 juillet 1997 définissant les missions prioritaires de l'enseignement fondamental et de l'enseignement secondaire et organisant les structures propres à les atteindre.</w:t>
            </w:r>
          </w:p>
          <w:p w:rsidR="00426CF0" w:rsidRDefault="00582DC0">
            <w:pPr>
              <w:pStyle w:val="Paragraphedeliste"/>
              <w:numPr>
                <w:ilvl w:val="0"/>
                <w:numId w:val="37"/>
              </w:numPr>
              <w:rPr>
                <w:rFonts w:ascii="Calibri" w:hAnsi="Calibri"/>
                <w:i/>
                <w:sz w:val="22"/>
                <w:szCs w:val="22"/>
              </w:rPr>
            </w:pPr>
            <w:r>
              <w:rPr>
                <w:rFonts w:ascii="Calibri" w:hAnsi="Calibri"/>
                <w:i/>
                <w:sz w:val="22"/>
                <w:szCs w:val="22"/>
              </w:rPr>
              <w:t>Décret du 11 avril 2014 garantissant l’équipement de l’enseignement qualifiant et organisant les centres de technologies avancées</w:t>
            </w:r>
          </w:p>
          <w:p w:rsidR="00426CF0" w:rsidRDefault="00426CF0">
            <w:pPr>
              <w:rPr>
                <w:i/>
              </w:rPr>
            </w:pP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bookmarkStart w:id="1" w:name="CaseACocher82"/>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bookmarkEnd w:id="1"/>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284"/>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7399" w:type="dxa"/>
            <w:gridSpan w:val="5"/>
            <w:tcBorders>
              <w:left w:val="single" w:sz="4" w:space="0" w:color="auto"/>
              <w:right w:val="single" w:sz="4" w:space="0" w:color="auto"/>
            </w:tcBorders>
            <w:vAlign w:val="center"/>
          </w:tcPr>
          <w:p w:rsidR="00426CF0" w:rsidRDefault="00582DC0">
            <w:r>
              <w:rPr>
                <w:rFonts w:ascii="Calibri" w:hAnsi="Calibri"/>
                <w:b/>
                <w:sz w:val="22"/>
                <w:szCs w:val="22"/>
              </w:rPr>
              <w:t>Compétences spécifiques :</w:t>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Avoir le sens de l’organisation afin de structurer adéquatement le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Analyser les informations et les communiquer clairement</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Se tenir informé de la situation socio-économique locale et régionale</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Faire preuve d’un sens aigu de l’organisation et des relations humaines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Analyser les programmes d’études et en transmettre les structures essentielles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Savoir s’approprier les connaissances de base des profils de formation et des programmes d’études afin de garantir une bonne articulation des volets des modules de formation dispensés par le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Avoir le sens de l’organisation, de la communication et des relations humaines et commerciales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sz w:val="22"/>
                <w:szCs w:val="22"/>
              </w:rPr>
              <w:t>Etre doté d’une capacité d’écoute et d’accueil</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7399" w:type="dxa"/>
            <w:gridSpan w:val="5"/>
            <w:tcBorders>
              <w:left w:val="single" w:sz="4" w:space="0" w:color="auto"/>
              <w:right w:val="single" w:sz="4" w:space="0" w:color="auto"/>
            </w:tcBorders>
            <w:vAlign w:val="center"/>
          </w:tcPr>
          <w:p w:rsidR="00426CF0" w:rsidRDefault="00582DC0">
            <w:pPr>
              <w:rPr>
                <w:rFonts w:ascii="Calibri" w:hAnsi="Calibri"/>
                <w:b/>
                <w:sz w:val="22"/>
                <w:szCs w:val="22"/>
              </w:rPr>
            </w:pPr>
            <w:r>
              <w:rPr>
                <w:rFonts w:ascii="Calibri" w:hAnsi="Calibri"/>
                <w:b/>
                <w:sz w:val="22"/>
                <w:szCs w:val="22"/>
              </w:rPr>
              <w:t>Aspects techniques :</w:t>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Notions de base en matière de marchés publics (avoir des connaissances de base de la législation et être capable de lire un cahier des charges, de rédiger des clauses techniques et d’analyser les offres)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Conduire une réunion</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Connaissances de base des profils de formation et des programmes d’études afin de garantir une bonne articulation des volets des modules de formation dispensés par le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des domaines techniques développés au sein du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 la règlementation en matière de bien-être au travail</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 la règlementation en matière d’évacuation des déchets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Elaboration d’un plan d’aménagement des locaux techniques</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des procédures en matière de maintenance des équipements présents au sein du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top w:val="single" w:sz="4" w:space="0" w:color="auto"/>
              <w:left w:val="single" w:sz="4" w:space="0" w:color="auto"/>
            </w:tcBorders>
            <w:vAlign w:val="center"/>
          </w:tcPr>
          <w:p w:rsidR="00426CF0" w:rsidRDefault="00582DC0">
            <w:pPr>
              <w:rPr>
                <w:rFonts w:ascii="Calibri" w:hAnsi="Calibri"/>
                <w:sz w:val="22"/>
                <w:szCs w:val="22"/>
              </w:rPr>
            </w:pPr>
            <w:r>
              <w:rPr>
                <w:rFonts w:ascii="Calibri" w:hAnsi="Calibri"/>
                <w:sz w:val="22"/>
                <w:szCs w:val="22"/>
              </w:rPr>
              <w:t>Connaissance des règlements du CTA</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377"/>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7399" w:type="dxa"/>
            <w:gridSpan w:val="5"/>
            <w:tcBorders>
              <w:left w:val="single" w:sz="4" w:space="0" w:color="auto"/>
              <w:right w:val="single" w:sz="4" w:space="0" w:color="auto"/>
            </w:tcBorders>
            <w:vAlign w:val="center"/>
          </w:tcPr>
          <w:p w:rsidR="00426CF0" w:rsidRDefault="00582DC0">
            <w:pPr>
              <w:rPr>
                <w:rFonts w:ascii="Calibri" w:hAnsi="Calibri"/>
                <w:sz w:val="22"/>
                <w:szCs w:val="22"/>
              </w:rPr>
            </w:pPr>
            <w:r>
              <w:rPr>
                <w:rFonts w:ascii="Calibri" w:hAnsi="Calibri"/>
                <w:b/>
                <w:sz w:val="22"/>
                <w:szCs w:val="22"/>
              </w:rPr>
              <w:t>Applications bureautiques :</w:t>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i/>
                <w:sz w:val="22"/>
                <w:szCs w:val="22"/>
              </w:rPr>
            </w:pPr>
            <w:r>
              <w:rPr>
                <w:rFonts w:ascii="Calibri" w:hAnsi="Calibri"/>
                <w:i/>
                <w:sz w:val="22"/>
                <w:szCs w:val="22"/>
              </w:rPr>
              <w:t>Excel</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i/>
                <w:sz w:val="22"/>
                <w:szCs w:val="22"/>
              </w:rPr>
            </w:pPr>
            <w:r>
              <w:rPr>
                <w:rFonts w:ascii="Calibri" w:hAnsi="Calibri"/>
                <w:i/>
                <w:sz w:val="22"/>
                <w:szCs w:val="22"/>
              </w:rPr>
              <w:t>Word</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i/>
                <w:sz w:val="22"/>
                <w:szCs w:val="22"/>
              </w:rPr>
            </w:pPr>
            <w:r>
              <w:rPr>
                <w:rFonts w:ascii="Calibri" w:hAnsi="Calibri"/>
                <w:i/>
                <w:sz w:val="22"/>
                <w:szCs w:val="22"/>
              </w:rPr>
              <w:t>Powerpoint</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510"/>
        </w:trPr>
        <w:tc>
          <w:tcPr>
            <w:tcW w:w="2501" w:type="dxa"/>
            <w:vMerge/>
            <w:tcBorders>
              <w:top w:val="nil"/>
              <w:left w:val="nil"/>
              <w:bottom w:val="nil"/>
              <w:right w:val="single" w:sz="4" w:space="0" w:color="auto"/>
            </w:tcBorders>
          </w:tcPr>
          <w:p w:rsidR="00426CF0" w:rsidRDefault="00426CF0">
            <w:pPr>
              <w:numPr>
                <w:ilvl w:val="1"/>
                <w:numId w:val="4"/>
              </w:numPr>
              <w:rPr>
                <w:rFonts w:ascii="Calibri" w:hAnsi="Calibri"/>
                <w:b/>
                <w:color w:val="99CCFF"/>
                <w:sz w:val="22"/>
                <w:szCs w:val="22"/>
              </w:rPr>
            </w:pPr>
          </w:p>
        </w:tc>
        <w:tc>
          <w:tcPr>
            <w:tcW w:w="4519" w:type="dxa"/>
            <w:tcBorders>
              <w:left w:val="single" w:sz="4" w:space="0" w:color="auto"/>
              <w:right w:val="single" w:sz="4" w:space="0" w:color="auto"/>
            </w:tcBorders>
            <w:vAlign w:val="center"/>
          </w:tcPr>
          <w:p w:rsidR="00426CF0" w:rsidRDefault="00582DC0">
            <w:pPr>
              <w:rPr>
                <w:rFonts w:ascii="Calibri" w:hAnsi="Calibri"/>
                <w:i/>
                <w:sz w:val="22"/>
                <w:szCs w:val="22"/>
              </w:rPr>
            </w:pPr>
            <w:r>
              <w:rPr>
                <w:rFonts w:ascii="Calibri" w:hAnsi="Calibri"/>
                <w:i/>
                <w:sz w:val="22"/>
                <w:szCs w:val="22"/>
              </w:rPr>
              <w:t>Outlook</w:t>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top w:val="single" w:sz="4" w:space="0" w:color="auto"/>
              <w:left w:val="single" w:sz="4" w:space="0" w:color="auto"/>
              <w:bottom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CaseACocher82"/>
                  <w:enabled/>
                  <w:calcOnExit w:val="0"/>
                  <w:checkBox>
                    <w:size w:val="18"/>
                    <w:default w:val="0"/>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c>
          <w:tcPr>
            <w:tcW w:w="720" w:type="dxa"/>
            <w:tcBorders>
              <w:left w:val="single" w:sz="4" w:space="0" w:color="auto"/>
              <w:right w:val="single" w:sz="4" w:space="0" w:color="auto"/>
            </w:tcBorders>
            <w:vAlign w:val="center"/>
          </w:tcPr>
          <w:p w:rsidR="00426CF0" w:rsidRDefault="00582DC0">
            <w:pPr>
              <w:jc w:val="center"/>
            </w:pPr>
            <w:r>
              <w:rPr>
                <w:rFonts w:ascii="Calibri" w:hAnsi="Calibri"/>
                <w:sz w:val="22"/>
                <w:szCs w:val="22"/>
              </w:rPr>
              <w:fldChar w:fldCharType="begin">
                <w:ffData>
                  <w:name w:val=""/>
                  <w:enabled/>
                  <w:calcOnExit w:val="0"/>
                  <w:checkBox>
                    <w:size w:val="18"/>
                    <w:default w:val="1"/>
                  </w:checkBox>
                </w:ffData>
              </w:fldChar>
            </w:r>
            <w:r>
              <w:rPr>
                <w:rFonts w:ascii="Calibri" w:hAnsi="Calibri"/>
                <w:sz w:val="22"/>
                <w:szCs w:val="22"/>
              </w:rPr>
              <w:instrText xml:space="preserve"> FORMCHECKBOX </w:instrText>
            </w:r>
            <w:r w:rsidR="00BE63CB">
              <w:rPr>
                <w:rFonts w:ascii="Calibri" w:hAnsi="Calibri"/>
                <w:sz w:val="22"/>
                <w:szCs w:val="22"/>
              </w:rPr>
            </w:r>
            <w:r w:rsidR="00BE63CB">
              <w:rPr>
                <w:rFonts w:ascii="Calibri" w:hAnsi="Calibri"/>
                <w:sz w:val="22"/>
                <w:szCs w:val="22"/>
              </w:rPr>
              <w:fldChar w:fldCharType="separate"/>
            </w:r>
            <w:r>
              <w:rPr>
                <w:rFonts w:ascii="Calibri" w:hAnsi="Calibri"/>
                <w:sz w:val="22"/>
                <w:szCs w:val="22"/>
              </w:rPr>
              <w:fldChar w:fldCharType="end"/>
            </w:r>
          </w:p>
        </w:tc>
      </w:tr>
      <w:tr w:rsidR="00426CF0">
        <w:trPr>
          <w:trHeight w:val="2099"/>
        </w:trPr>
        <w:tc>
          <w:tcPr>
            <w:tcW w:w="2501" w:type="dxa"/>
            <w:tcBorders>
              <w:top w:val="nil"/>
              <w:left w:val="nil"/>
              <w:bottom w:val="nil"/>
              <w:right w:val="single" w:sz="4" w:space="0" w:color="auto"/>
            </w:tcBorders>
          </w:tcPr>
          <w:p w:rsidR="00426CF0" w:rsidRDefault="00582DC0">
            <w:pPr>
              <w:rPr>
                <w:rFonts w:ascii="Calibri" w:hAnsi="Calibri"/>
                <w:b/>
                <w:color w:val="3265FF"/>
                <w:sz w:val="22"/>
                <w:szCs w:val="22"/>
              </w:rPr>
            </w:pPr>
            <w:r>
              <w:rPr>
                <w:rFonts w:ascii="Calibri" w:hAnsi="Calibri"/>
                <w:b/>
                <w:color w:val="3265FF"/>
                <w:sz w:val="22"/>
                <w:szCs w:val="22"/>
              </w:rPr>
              <w:lastRenderedPageBreak/>
              <w:t xml:space="preserve">Compétences </w:t>
            </w:r>
          </w:p>
          <w:p w:rsidR="00426CF0" w:rsidRDefault="00582DC0">
            <w:pPr>
              <w:rPr>
                <w:rFonts w:ascii="Calibri" w:hAnsi="Calibri"/>
                <w:b/>
                <w:color w:val="3265FF"/>
                <w:sz w:val="22"/>
                <w:szCs w:val="22"/>
              </w:rPr>
            </w:pPr>
            <w:r>
              <w:rPr>
                <w:rFonts w:ascii="Calibri" w:hAnsi="Calibri"/>
                <w:b/>
                <w:color w:val="3265FF"/>
                <w:sz w:val="22"/>
                <w:szCs w:val="22"/>
              </w:rPr>
              <w:t>génériques / comportementales à acquérir pour exercer la fonction « à terme » :</w:t>
            </w:r>
          </w:p>
        </w:tc>
        <w:tc>
          <w:tcPr>
            <w:tcW w:w="7399" w:type="dxa"/>
            <w:gridSpan w:val="5"/>
            <w:tcBorders>
              <w:top w:val="single" w:sz="4" w:space="0" w:color="auto"/>
              <w:left w:val="single" w:sz="4" w:space="0" w:color="auto"/>
              <w:right w:val="single" w:sz="4" w:space="0" w:color="auto"/>
            </w:tcBorders>
          </w:tcPr>
          <w:p w:rsidR="00426CF0" w:rsidRDefault="00426CF0">
            <w:pPr>
              <w:pStyle w:val="Default"/>
              <w:spacing w:after="120"/>
              <w:jc w:val="both"/>
              <w:rPr>
                <w:rFonts w:ascii="Calibri" w:hAnsi="Calibri" w:cs="Times New Roman"/>
                <w:b/>
                <w:bCs/>
                <w:sz w:val="22"/>
                <w:szCs w:val="22"/>
              </w:rPr>
            </w:pPr>
          </w:p>
          <w:p w:rsidR="00426CF0" w:rsidRDefault="00582DC0">
            <w:pPr>
              <w:pStyle w:val="Default"/>
              <w:spacing w:after="120"/>
              <w:jc w:val="both"/>
              <w:rPr>
                <w:rFonts w:ascii="Calibri" w:hAnsi="Calibri" w:cs="Times New Roman"/>
                <w:b/>
                <w:bCs/>
                <w:sz w:val="22"/>
                <w:szCs w:val="22"/>
              </w:rPr>
            </w:pPr>
            <w:r>
              <w:rPr>
                <w:rFonts w:ascii="Calibri" w:hAnsi="Calibri" w:cs="Times New Roman"/>
                <w:b/>
                <w:bCs/>
                <w:sz w:val="22"/>
                <w:szCs w:val="22"/>
              </w:rPr>
              <w:t>Gestion de l’information</w:t>
            </w:r>
          </w:p>
          <w:p w:rsidR="00426CF0" w:rsidRDefault="00582DC0">
            <w:pPr>
              <w:spacing w:after="120"/>
              <w:jc w:val="both"/>
              <w:rPr>
                <w:rFonts w:ascii="Calibri" w:hAnsi="Calibri"/>
                <w:sz w:val="22"/>
                <w:szCs w:val="22"/>
              </w:rPr>
            </w:pPr>
            <w:r>
              <w:rPr>
                <w:rFonts w:ascii="Calibri" w:hAnsi="Calibri" w:cs="Arial"/>
                <w:sz w:val="22"/>
                <w:szCs w:val="22"/>
                <w:u w:val="single"/>
              </w:rPr>
              <w:t>Intégrer l’information</w:t>
            </w:r>
            <w:r>
              <w:rPr>
                <w:rFonts w:ascii="Calibri" w:hAnsi="Calibri" w:cs="Arial"/>
                <w:i/>
                <w:sz w:val="22"/>
                <w:szCs w:val="22"/>
              </w:rPr>
              <w:t> :</w:t>
            </w:r>
            <w:r>
              <w:rPr>
                <w:rFonts w:ascii="Calibri" w:hAnsi="Calibri" w:cs="Arial"/>
                <w:b/>
                <w:sz w:val="22"/>
                <w:szCs w:val="22"/>
              </w:rPr>
              <w:t xml:space="preserve"> </w:t>
            </w:r>
            <w:r>
              <w:rPr>
                <w:rFonts w:ascii="Calibri" w:hAnsi="Calibri" w:cs="Arial"/>
                <w:sz w:val="22"/>
                <w:szCs w:val="22"/>
              </w:rPr>
              <w:t>Vous établissez des liens entre les diverses données, vous concevez des alternatives et tirez des conclusions adéquates.</w:t>
            </w:r>
            <w:r>
              <w:rPr>
                <w:rFonts w:ascii="Calibri" w:hAnsi="Calibri"/>
                <w:sz w:val="22"/>
                <w:szCs w:val="22"/>
              </w:rPr>
              <w:t xml:space="preserve"> </w:t>
            </w:r>
          </w:p>
          <w:p w:rsidR="00426CF0" w:rsidRDefault="00426CF0">
            <w:pPr>
              <w:spacing w:after="120"/>
              <w:jc w:val="both"/>
              <w:rPr>
                <w:rFonts w:ascii="Calibri" w:hAnsi="Calibri"/>
                <w:sz w:val="22"/>
                <w:szCs w:val="22"/>
              </w:rPr>
            </w:pPr>
          </w:p>
          <w:p w:rsidR="00426CF0" w:rsidRDefault="00582DC0">
            <w:pPr>
              <w:pStyle w:val="Default"/>
              <w:spacing w:after="120"/>
              <w:jc w:val="both"/>
              <w:rPr>
                <w:rFonts w:ascii="Calibri" w:hAnsi="Calibri" w:cs="Times New Roman"/>
                <w:b/>
                <w:bCs/>
                <w:sz w:val="22"/>
                <w:szCs w:val="22"/>
              </w:rPr>
            </w:pPr>
            <w:r>
              <w:rPr>
                <w:rFonts w:ascii="Calibri" w:hAnsi="Calibri" w:cs="Times New Roman"/>
                <w:b/>
                <w:bCs/>
                <w:sz w:val="22"/>
                <w:szCs w:val="22"/>
              </w:rPr>
              <w:t>Gestion des tâches</w:t>
            </w:r>
          </w:p>
          <w:p w:rsidR="00426CF0" w:rsidRDefault="00582DC0">
            <w:pPr>
              <w:autoSpaceDE w:val="0"/>
              <w:autoSpaceDN w:val="0"/>
              <w:adjustRightInd w:val="0"/>
              <w:spacing w:after="120"/>
              <w:jc w:val="both"/>
              <w:rPr>
                <w:rFonts w:ascii="Calibri" w:hAnsi="Calibri" w:cs="Arial"/>
                <w:sz w:val="22"/>
                <w:szCs w:val="22"/>
              </w:rPr>
            </w:pPr>
            <w:r>
              <w:rPr>
                <w:rFonts w:ascii="Calibri" w:hAnsi="Calibri" w:cs="Arial"/>
                <w:sz w:val="22"/>
                <w:szCs w:val="22"/>
                <w:u w:val="single"/>
              </w:rPr>
              <w:t>Exécuter les tâches :</w:t>
            </w:r>
            <w:r>
              <w:rPr>
                <w:rFonts w:ascii="Calibri" w:hAnsi="Calibri" w:cs="Arial"/>
                <w:sz w:val="22"/>
                <w:szCs w:val="22"/>
              </w:rPr>
              <w:t xml:space="preserve"> Vous utilisez les moyens disponibles et effectuez les tâches simples ou répétitives de façon autonome, correcte et systématique.</w:t>
            </w:r>
          </w:p>
          <w:p w:rsidR="00426CF0" w:rsidRDefault="00582DC0">
            <w:pPr>
              <w:autoSpaceDE w:val="0"/>
              <w:autoSpaceDN w:val="0"/>
              <w:adjustRightInd w:val="0"/>
              <w:spacing w:after="120"/>
              <w:jc w:val="both"/>
              <w:rPr>
                <w:rFonts w:ascii="Calibri" w:hAnsi="Calibri" w:cs="Arial"/>
                <w:sz w:val="22"/>
                <w:szCs w:val="22"/>
              </w:rPr>
            </w:pPr>
            <w:r>
              <w:rPr>
                <w:rFonts w:ascii="Calibri" w:hAnsi="Calibri" w:cs="Arial"/>
                <w:sz w:val="22"/>
                <w:szCs w:val="22"/>
                <w:u w:val="single"/>
              </w:rPr>
              <w:t>Structurer le travail :</w:t>
            </w:r>
            <w:r>
              <w:rPr>
                <w:rFonts w:ascii="Calibri" w:hAnsi="Calibri" w:cs="Arial"/>
                <w:sz w:val="22"/>
                <w:szCs w:val="22"/>
              </w:rPr>
              <w:t xml:space="preserve"> Vous structurez votre travail en fixant les priorités et en accomplissant une multitude de tâches différentes de façon systématique.</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cs="Arial"/>
                <w:sz w:val="22"/>
                <w:szCs w:val="22"/>
                <w:u w:val="single"/>
              </w:rPr>
              <w:t>Résoudre les problèmes</w:t>
            </w:r>
            <w:r>
              <w:rPr>
                <w:rFonts w:ascii="Calibri" w:hAnsi="Calibri" w:cs="Arial"/>
                <w:sz w:val="22"/>
                <w:szCs w:val="22"/>
              </w:rPr>
              <w:t> : Vous traitez</w:t>
            </w:r>
            <w:r>
              <w:rPr>
                <w:rFonts w:ascii="Calibri" w:hAnsi="Calibri" w:cs="Arial"/>
                <w:sz w:val="22"/>
                <w:szCs w:val="22"/>
                <w:lang w:val="fr-BE" w:eastAsia="fr-BE"/>
              </w:rPr>
              <w:t xml:space="preserve"> et résolvez les problèmes de manière autonome, cherchez des alternatives et mettez en œuvre les solutions.</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cs="Arial"/>
                <w:sz w:val="22"/>
                <w:szCs w:val="22"/>
                <w:u w:val="single"/>
                <w:lang w:val="fr-BE" w:eastAsia="fr-BE"/>
              </w:rPr>
              <w:t>Gérer le service :</w:t>
            </w:r>
            <w:r>
              <w:rPr>
                <w:rFonts w:ascii="Calibri" w:hAnsi="Calibri" w:cs="Arial"/>
                <w:sz w:val="22"/>
                <w:szCs w:val="22"/>
                <w:lang w:val="fr-BE" w:eastAsia="fr-BE"/>
              </w:rPr>
              <w:t xml:space="preserve"> Vous gérez et suivez les délais, les coûts, les activités et les ressources</w:t>
            </w:r>
          </w:p>
          <w:p w:rsidR="00426CF0" w:rsidRDefault="00426CF0">
            <w:pPr>
              <w:spacing w:after="120"/>
              <w:jc w:val="both"/>
              <w:rPr>
                <w:rFonts w:ascii="Calibri" w:hAnsi="Calibri" w:cs="Arial"/>
                <w:sz w:val="22"/>
                <w:szCs w:val="22"/>
              </w:rPr>
            </w:pPr>
          </w:p>
          <w:p w:rsidR="00426CF0" w:rsidRDefault="00582DC0">
            <w:pPr>
              <w:pStyle w:val="Default"/>
              <w:spacing w:after="120"/>
              <w:jc w:val="both"/>
              <w:rPr>
                <w:rFonts w:ascii="Calibri" w:hAnsi="Calibri" w:cs="Times New Roman"/>
                <w:b/>
                <w:bCs/>
                <w:sz w:val="22"/>
                <w:szCs w:val="22"/>
              </w:rPr>
            </w:pPr>
            <w:r>
              <w:rPr>
                <w:rFonts w:ascii="Calibri" w:hAnsi="Calibri" w:cs="Times New Roman"/>
                <w:b/>
                <w:bCs/>
                <w:sz w:val="22"/>
                <w:szCs w:val="22"/>
              </w:rPr>
              <w:t xml:space="preserve">Gestion des relations </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cs="Arial"/>
                <w:sz w:val="22"/>
                <w:szCs w:val="22"/>
                <w:u w:val="single"/>
                <w:lang w:val="fr-BE" w:eastAsia="fr-BE"/>
              </w:rPr>
              <w:t>Communiquer </w:t>
            </w:r>
            <w:r w:rsidRPr="00C12B01">
              <w:rPr>
                <w:rFonts w:ascii="Calibri" w:hAnsi="Calibri" w:cs="Arial"/>
                <w:sz w:val="22"/>
                <w:szCs w:val="22"/>
                <w:lang w:val="fr-BE" w:eastAsia="fr-BE"/>
              </w:rPr>
              <w:t xml:space="preserve">: </w:t>
            </w:r>
            <w:r>
              <w:rPr>
                <w:rFonts w:ascii="Calibri" w:hAnsi="Calibri" w:cs="Arial"/>
                <w:sz w:val="22"/>
                <w:szCs w:val="22"/>
                <w:lang w:val="fr-BE" w:eastAsia="fr-BE"/>
              </w:rPr>
              <w:t>Vous vous exprimez, tant par écrit qu'oralement, de manière claire et compréhensible et rapportez les données de manière correcte.</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cs="Arial"/>
                <w:sz w:val="22"/>
                <w:szCs w:val="22"/>
                <w:u w:val="single"/>
                <w:lang w:val="fr-BE" w:eastAsia="fr-BE"/>
              </w:rPr>
              <w:t>Construire des réseaux :</w:t>
            </w:r>
            <w:r>
              <w:rPr>
                <w:rFonts w:ascii="Calibri" w:hAnsi="Calibri" w:cs="Arial"/>
                <w:sz w:val="22"/>
                <w:szCs w:val="22"/>
                <w:lang w:val="fr-BE" w:eastAsia="fr-BE"/>
              </w:rPr>
              <w:t xml:space="preserve"> Vous identifiez les partenaires externes adéquats pour l'organisation à travers des réseaux formels et informels et élaborez des alliances stratégiques.</w:t>
            </w:r>
          </w:p>
          <w:p w:rsidR="00426CF0" w:rsidRDefault="00426CF0">
            <w:pPr>
              <w:spacing w:after="120"/>
              <w:jc w:val="both"/>
              <w:rPr>
                <w:rFonts w:ascii="Calibri" w:hAnsi="Calibri"/>
                <w:sz w:val="22"/>
                <w:szCs w:val="22"/>
              </w:rPr>
            </w:pPr>
          </w:p>
          <w:p w:rsidR="00426CF0" w:rsidRDefault="00582DC0">
            <w:pPr>
              <w:pStyle w:val="Default"/>
              <w:spacing w:after="120"/>
              <w:jc w:val="both"/>
              <w:rPr>
                <w:rFonts w:ascii="Calibri" w:hAnsi="Calibri" w:cs="Times New Roman"/>
                <w:b/>
                <w:bCs/>
                <w:sz w:val="22"/>
                <w:szCs w:val="22"/>
              </w:rPr>
            </w:pPr>
            <w:r>
              <w:rPr>
                <w:rFonts w:ascii="Calibri" w:hAnsi="Calibri" w:cs="Times New Roman"/>
                <w:b/>
                <w:bCs/>
                <w:sz w:val="22"/>
                <w:szCs w:val="22"/>
              </w:rPr>
              <w:t xml:space="preserve">Gestion de son fonctionnement personnel </w:t>
            </w:r>
          </w:p>
          <w:p w:rsidR="00426CF0" w:rsidRDefault="00582DC0">
            <w:pPr>
              <w:spacing w:after="120"/>
              <w:jc w:val="both"/>
              <w:rPr>
                <w:rFonts w:ascii="Calibri" w:hAnsi="Calibri"/>
                <w:sz w:val="22"/>
                <w:szCs w:val="22"/>
              </w:rPr>
            </w:pPr>
            <w:r>
              <w:rPr>
                <w:rFonts w:ascii="Calibri" w:hAnsi="Calibri"/>
                <w:sz w:val="22"/>
                <w:szCs w:val="22"/>
                <w:u w:val="single"/>
              </w:rPr>
              <w:t>Faire preuve de fiabilité :</w:t>
            </w:r>
            <w:r>
              <w:rPr>
                <w:rFonts w:ascii="Calibri" w:hAnsi="Calibri"/>
                <w:i/>
                <w:sz w:val="22"/>
                <w:szCs w:val="22"/>
              </w:rPr>
              <w:t xml:space="preserve"> </w:t>
            </w:r>
            <w:r>
              <w:rPr>
                <w:rFonts w:ascii="Calibri" w:hAnsi="Calibri"/>
                <w:sz w:val="22"/>
                <w:szCs w:val="22"/>
              </w:rPr>
              <w:t>Vous agissez de manière intègre, conformément aux attentes de l’organisation. Vous respectez la confidentialité et les engagements et évitez toute forme de partialité.</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sz w:val="22"/>
                <w:szCs w:val="22"/>
                <w:u w:val="single"/>
              </w:rPr>
              <w:t>S’adapter</w:t>
            </w:r>
            <w:r>
              <w:rPr>
                <w:rFonts w:ascii="Calibri" w:hAnsi="Calibri"/>
                <w:sz w:val="22"/>
                <w:szCs w:val="22"/>
              </w:rPr>
              <w:t xml:space="preserve"> : </w:t>
            </w:r>
            <w:r>
              <w:rPr>
                <w:rFonts w:ascii="Calibri" w:hAnsi="Calibri" w:cs="Arial"/>
                <w:sz w:val="22"/>
                <w:szCs w:val="22"/>
                <w:lang w:val="fr-BE" w:eastAsia="fr-BE"/>
              </w:rPr>
              <w:t>Vous adoptez une attitude souple face aux changements, et vous vous adaptez face aux circonstances changeantes et à des situations variées.</w:t>
            </w:r>
          </w:p>
          <w:p w:rsidR="00426CF0" w:rsidRDefault="00582DC0">
            <w:pPr>
              <w:spacing w:after="120"/>
              <w:jc w:val="both"/>
              <w:rPr>
                <w:rFonts w:ascii="Calibri" w:hAnsi="Calibri" w:cs="Arial"/>
                <w:sz w:val="22"/>
                <w:szCs w:val="22"/>
              </w:rPr>
            </w:pPr>
            <w:r>
              <w:rPr>
                <w:rFonts w:ascii="Calibri" w:hAnsi="Calibri" w:cs="Arial"/>
                <w:sz w:val="22"/>
                <w:szCs w:val="22"/>
                <w:u w:val="single"/>
              </w:rPr>
              <w:t>Atteindre les objectifs</w:t>
            </w:r>
            <w:r>
              <w:rPr>
                <w:rFonts w:ascii="Calibri" w:hAnsi="Calibri" w:cs="Arial"/>
                <w:i/>
                <w:sz w:val="22"/>
                <w:szCs w:val="22"/>
              </w:rPr>
              <w:t xml:space="preserve"> : </w:t>
            </w:r>
            <w:r>
              <w:rPr>
                <w:rFonts w:ascii="Calibri" w:hAnsi="Calibri" w:cs="Arial"/>
                <w:sz w:val="22"/>
                <w:szCs w:val="22"/>
              </w:rPr>
              <w:t>Vous vous impliquez et démontrez de la volonté et de l’ambition afin de générer des résultats et assumez la responsabilité de la qualité des actions entreprises.</w:t>
            </w:r>
          </w:p>
          <w:p w:rsidR="00426CF0" w:rsidRDefault="00582DC0">
            <w:pPr>
              <w:autoSpaceDE w:val="0"/>
              <w:autoSpaceDN w:val="0"/>
              <w:adjustRightInd w:val="0"/>
              <w:spacing w:after="120"/>
              <w:jc w:val="both"/>
              <w:rPr>
                <w:rFonts w:ascii="Calibri" w:hAnsi="Calibri" w:cs="Arial"/>
                <w:sz w:val="22"/>
                <w:szCs w:val="22"/>
                <w:lang w:val="fr-BE" w:eastAsia="fr-BE"/>
              </w:rPr>
            </w:pPr>
            <w:r>
              <w:rPr>
                <w:rFonts w:ascii="Calibri" w:hAnsi="Calibri" w:cs="Arial"/>
                <w:sz w:val="22"/>
                <w:szCs w:val="22"/>
                <w:u w:val="single"/>
              </w:rPr>
              <w:t>S’auto-développer</w:t>
            </w:r>
            <w:r>
              <w:rPr>
                <w:rFonts w:ascii="Calibri" w:hAnsi="Calibri" w:cs="Arial"/>
                <w:sz w:val="22"/>
                <w:szCs w:val="22"/>
              </w:rPr>
              <w:t xml:space="preserve"> : Vous </w:t>
            </w:r>
            <w:r>
              <w:rPr>
                <w:rFonts w:ascii="Calibri" w:hAnsi="Calibri" w:cs="Arial"/>
                <w:sz w:val="22"/>
                <w:szCs w:val="22"/>
                <w:lang w:val="fr-BE" w:eastAsia="fr-BE"/>
              </w:rPr>
              <w:t>planifiez et gérez de manière active votre propre développement en fonction de vos possibilités, intérêts et ambition, en remettant en question de façon critique votre propre fonctionnement et en vous enrichissant continuellement par de nouvelles idées et approches, compétences et connaissances.</w:t>
            </w:r>
          </w:p>
          <w:p w:rsidR="00426CF0" w:rsidRDefault="00426CF0">
            <w:pPr>
              <w:rPr>
                <w:rFonts w:ascii="Calibri" w:hAnsi="Calibri"/>
              </w:rPr>
            </w:pPr>
          </w:p>
        </w:tc>
      </w:tr>
    </w:tbl>
    <w:p w:rsidR="00426CF0" w:rsidRDefault="00426CF0">
      <w:pPr>
        <w:rPr>
          <w:rFonts w:ascii="Calibri" w:hAnsi="Calibri"/>
        </w:rPr>
      </w:pPr>
    </w:p>
    <w:p w:rsidR="00426CF0" w:rsidRDefault="00426CF0">
      <w:pPr>
        <w:rPr>
          <w:rFonts w:ascii="Calibri" w:hAnsi="Calibri"/>
        </w:rPr>
      </w:pPr>
    </w:p>
    <w:p w:rsidR="00426CF0" w:rsidRDefault="00426CF0">
      <w:pPr>
        <w:rPr>
          <w:rFonts w:ascii="Calibri" w:hAnsi="Calibri"/>
        </w:rPr>
      </w:pPr>
    </w:p>
    <w:p w:rsidR="00426CF0" w:rsidRDefault="00426CF0">
      <w:pPr>
        <w:rPr>
          <w:rFonts w:ascii="Calibri" w:hAnsi="Calibri"/>
        </w:rPr>
      </w:pPr>
    </w:p>
    <w:p w:rsidR="00426CF0" w:rsidRDefault="00582DC0">
      <w:pPr>
        <w:rPr>
          <w:rFonts w:ascii="Calibri" w:hAnsi="Calibri"/>
        </w:rPr>
      </w:pPr>
      <w:r>
        <w:rPr>
          <w:rFonts w:ascii="Calibri" w:hAnsi="Calibri"/>
          <w:noProof/>
          <w:lang w:val="fr-BE" w:eastAsia="fr-BE"/>
        </w:rPr>
        <w:drawing>
          <wp:anchor distT="0" distB="0" distL="114300" distR="114300" simplePos="0" relativeHeight="251661312" behindDoc="0" locked="0" layoutInCell="1" allowOverlap="1">
            <wp:simplePos x="0" y="0"/>
            <wp:positionH relativeFrom="margin">
              <wp:posOffset>2538316</wp:posOffset>
            </wp:positionH>
            <wp:positionV relativeFrom="paragraph">
              <wp:posOffset>568795</wp:posOffset>
            </wp:positionV>
            <wp:extent cx="998717" cy="1073426"/>
            <wp:effectExtent l="19050" t="0" r="0" b="0"/>
            <wp:wrapNone/>
            <wp:docPr id="1" name="Image 2" descr="Logo_FWB_Verti_Noir mini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Noir miniature"/>
                    <pic:cNvPicPr>
                      <a:picLocks noChangeAspect="1" noChangeArrowheads="1"/>
                    </pic:cNvPicPr>
                  </pic:nvPicPr>
                  <pic:blipFill>
                    <a:blip r:embed="rId9" cstate="print"/>
                    <a:srcRect/>
                    <a:stretch>
                      <a:fillRect/>
                    </a:stretch>
                  </pic:blipFill>
                  <pic:spPr bwMode="auto">
                    <a:xfrm>
                      <a:off x="0" y="0"/>
                      <a:ext cx="998717" cy="1073426"/>
                    </a:xfrm>
                    <a:prstGeom prst="rect">
                      <a:avLst/>
                    </a:prstGeom>
                    <a:noFill/>
                    <a:ln w="9525">
                      <a:noFill/>
                      <a:miter lim="800000"/>
                      <a:headEnd/>
                      <a:tailEnd/>
                    </a:ln>
                  </pic:spPr>
                </pic:pic>
              </a:graphicData>
            </a:graphic>
          </wp:anchor>
        </w:drawing>
      </w:r>
    </w:p>
    <w:sectPr w:rsidR="00426CF0">
      <w:headerReference w:type="default" r:id="rId10"/>
      <w:footerReference w:type="default" r:id="rId11"/>
      <w:pgSz w:w="11906" w:h="16838"/>
      <w:pgMar w:top="899" w:right="746" w:bottom="360" w:left="1417" w:header="708" w:footer="1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5873" w:rsidRDefault="007E5873">
      <w:r>
        <w:separator/>
      </w:r>
    </w:p>
  </w:endnote>
  <w:endnote w:type="continuationSeparator" w:id="0">
    <w:p w:rsidR="007E5873" w:rsidRDefault="007E5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igi">
    <w:panose1 w:val="04040504061007020D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6CF0" w:rsidRDefault="00582DC0">
    <w:pPr>
      <w:pStyle w:val="Pieddepage"/>
      <w:tabs>
        <w:tab w:val="clear" w:pos="4536"/>
        <w:tab w:val="clear" w:pos="9072"/>
        <w:tab w:val="right" w:pos="9639"/>
      </w:tabs>
      <w:jc w:val="right"/>
      <w:rPr>
        <w:rFonts w:ascii="Calibri" w:hAnsi="Calibri"/>
        <w:spacing w:val="-10"/>
        <w:sz w:val="16"/>
        <w:szCs w:val="16"/>
        <w:lang w:val="fr-BE"/>
      </w:rPr>
    </w:pPr>
    <w:r>
      <w:rPr>
        <w:rFonts w:ascii="Calibri" w:hAnsi="Calibri"/>
        <w:spacing w:val="-10"/>
        <w:sz w:val="16"/>
        <w:szCs w:val="16"/>
        <w:lang w:val="fr-BE"/>
      </w:rPr>
      <w:fldChar w:fldCharType="begin"/>
    </w:r>
    <w:r>
      <w:rPr>
        <w:rFonts w:ascii="Calibri" w:hAnsi="Calibri"/>
        <w:spacing w:val="-10"/>
        <w:sz w:val="16"/>
        <w:szCs w:val="16"/>
        <w:lang w:val="fr-BE"/>
      </w:rPr>
      <w:instrText xml:space="preserve"> PAGE </w:instrText>
    </w:r>
    <w:r>
      <w:rPr>
        <w:rFonts w:ascii="Calibri" w:hAnsi="Calibri"/>
        <w:spacing w:val="-10"/>
        <w:sz w:val="16"/>
        <w:szCs w:val="16"/>
        <w:lang w:val="fr-BE"/>
      </w:rPr>
      <w:fldChar w:fldCharType="separate"/>
    </w:r>
    <w:r w:rsidR="00BE63CB">
      <w:rPr>
        <w:rFonts w:ascii="Calibri" w:hAnsi="Calibri"/>
        <w:noProof/>
        <w:spacing w:val="-10"/>
        <w:sz w:val="16"/>
        <w:szCs w:val="16"/>
        <w:lang w:val="fr-BE"/>
      </w:rPr>
      <w:t>1</w:t>
    </w:r>
    <w:r>
      <w:rPr>
        <w:rFonts w:ascii="Calibri" w:hAnsi="Calibri"/>
        <w:spacing w:val="-10"/>
        <w:sz w:val="16"/>
        <w:szCs w:val="16"/>
        <w:lang w:val="fr-BE"/>
      </w:rPr>
      <w:fldChar w:fldCharType="end"/>
    </w:r>
    <w:r>
      <w:rPr>
        <w:rFonts w:ascii="Calibri" w:hAnsi="Calibri"/>
        <w:spacing w:val="-10"/>
        <w:sz w:val="16"/>
        <w:szCs w:val="16"/>
        <w:lang w:val="fr-BE"/>
      </w:rPr>
      <w:t>/</w:t>
    </w:r>
    <w:r>
      <w:rPr>
        <w:rFonts w:ascii="Calibri" w:hAnsi="Calibri"/>
        <w:spacing w:val="-10"/>
        <w:sz w:val="16"/>
        <w:szCs w:val="16"/>
        <w:lang w:val="fr-BE"/>
      </w:rPr>
      <w:fldChar w:fldCharType="begin"/>
    </w:r>
    <w:r>
      <w:rPr>
        <w:rFonts w:ascii="Calibri" w:hAnsi="Calibri"/>
        <w:spacing w:val="-10"/>
        <w:sz w:val="16"/>
        <w:szCs w:val="16"/>
        <w:lang w:val="fr-BE"/>
      </w:rPr>
      <w:instrText xml:space="preserve"> NUMPAGES </w:instrText>
    </w:r>
    <w:r>
      <w:rPr>
        <w:rFonts w:ascii="Calibri" w:hAnsi="Calibri"/>
        <w:spacing w:val="-10"/>
        <w:sz w:val="16"/>
        <w:szCs w:val="16"/>
        <w:lang w:val="fr-BE"/>
      </w:rPr>
      <w:fldChar w:fldCharType="separate"/>
    </w:r>
    <w:r w:rsidR="00BE63CB">
      <w:rPr>
        <w:rFonts w:ascii="Calibri" w:hAnsi="Calibri"/>
        <w:noProof/>
        <w:spacing w:val="-10"/>
        <w:sz w:val="16"/>
        <w:szCs w:val="16"/>
        <w:lang w:val="fr-BE"/>
      </w:rPr>
      <w:t>6</w:t>
    </w:r>
    <w:r>
      <w:rPr>
        <w:rFonts w:ascii="Calibri" w:hAnsi="Calibri"/>
        <w:spacing w:val="-10"/>
        <w:sz w:val="16"/>
        <w:szCs w:val="16"/>
        <w:lang w:val="fr-BE"/>
      </w:rPr>
      <w:fldChar w:fldCharType="end"/>
    </w:r>
  </w:p>
  <w:p w:rsidR="00426CF0" w:rsidRDefault="00426CF0">
    <w:pPr>
      <w:pStyle w:val="Pieddepage"/>
      <w:rPr>
        <w:lang w:val="fr-B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5873" w:rsidRDefault="007E5873">
      <w:r>
        <w:separator/>
      </w:r>
    </w:p>
  </w:footnote>
  <w:footnote w:type="continuationSeparator" w:id="0">
    <w:p w:rsidR="007E5873" w:rsidRDefault="007E58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9C6" w:rsidRPr="00E159C6" w:rsidRDefault="00E159C6" w:rsidP="00E159C6">
    <w:pPr>
      <w:pStyle w:val="En-tte"/>
      <w:jc w:val="center"/>
      <w:rPr>
        <w:lang w:val="fr-BE"/>
      </w:rPr>
    </w:pPr>
    <w:r>
      <w:rPr>
        <w:lang w:val="fr-BE"/>
      </w:rPr>
      <w:t>A</w:t>
    </w:r>
    <w:r w:rsidR="00BE63CB">
      <w:rPr>
        <w:lang w:val="fr-BE"/>
      </w:rPr>
      <w:t>NNEXE 2</w:t>
    </w:r>
    <w:r>
      <w:rPr>
        <w:lang w:val="fr-BE"/>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0667B27"/>
    <w:multiLevelType w:val="hybridMultilevel"/>
    <w:tmpl w:val="E01C54B8"/>
    <w:lvl w:ilvl="0" w:tplc="7416EA54">
      <w:start w:val="3"/>
      <w:numFmt w:val="upperLetter"/>
      <w:lvlText w:val="%1."/>
      <w:lvlJc w:val="left"/>
      <w:pPr>
        <w:tabs>
          <w:tab w:val="num" w:pos="284"/>
        </w:tabs>
        <w:ind w:left="284" w:hanging="284"/>
      </w:pPr>
      <w:rPr>
        <w:rFonts w:hint="default"/>
        <w:b/>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 w15:restartNumberingAfterBreak="0">
    <w:nsid w:val="00887CAB"/>
    <w:multiLevelType w:val="hybridMultilevel"/>
    <w:tmpl w:val="C0527D78"/>
    <w:lvl w:ilvl="0" w:tplc="78EC68B2">
      <w:start w:val="1"/>
      <w:numFmt w:val="decimal"/>
      <w:lvlText w:val="%1."/>
      <w:lvlJc w:val="left"/>
      <w:pPr>
        <w:tabs>
          <w:tab w:val="num" w:pos="284"/>
        </w:tabs>
        <w:ind w:left="284" w:hanging="284"/>
      </w:pPr>
      <w:rPr>
        <w:rFonts w:hint="default"/>
      </w:rPr>
    </w:lvl>
    <w:lvl w:ilvl="1" w:tplc="D53A94F6">
      <w:start w:val="3"/>
      <w:numFmt w:val="upperLetter"/>
      <w:lvlText w:val="%2."/>
      <w:lvlJc w:val="left"/>
      <w:pPr>
        <w:tabs>
          <w:tab w:val="num" w:pos="284"/>
        </w:tabs>
        <w:ind w:left="284" w:hanging="284"/>
      </w:pPr>
      <w:rPr>
        <w:rFonts w:hint="default"/>
        <w:color w:val="99CCFF"/>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15:restartNumberingAfterBreak="0">
    <w:nsid w:val="02E000AF"/>
    <w:multiLevelType w:val="hybridMultilevel"/>
    <w:tmpl w:val="B770C8A8"/>
    <w:lvl w:ilvl="0" w:tplc="42D09CEE">
      <w:start w:val="1"/>
      <w:numFmt w:val="bullet"/>
      <w:lvlText w:val="-"/>
      <w:lvlJc w:val="left"/>
      <w:pPr>
        <w:tabs>
          <w:tab w:val="num" w:pos="2160"/>
        </w:tabs>
        <w:ind w:left="2160" w:hanging="360"/>
      </w:pPr>
      <w:rPr>
        <w:rFonts w:ascii="Arial" w:hAnsi="Aria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410BBC"/>
    <w:multiLevelType w:val="hybridMultilevel"/>
    <w:tmpl w:val="0B3A08D8"/>
    <w:lvl w:ilvl="0" w:tplc="040C000F">
      <w:start w:val="1"/>
      <w:numFmt w:val="decimal"/>
      <w:lvlText w:val="%1."/>
      <w:lvlJc w:val="left"/>
      <w:pPr>
        <w:tabs>
          <w:tab w:val="num" w:pos="720"/>
        </w:tabs>
        <w:ind w:left="720" w:hanging="360"/>
      </w:pPr>
    </w:lvl>
    <w:lvl w:ilvl="1" w:tplc="9B92B8AE">
      <w:start w:val="1"/>
      <w:numFmt w:val="upperLetter"/>
      <w:lvlText w:val="%2."/>
      <w:lvlJc w:val="left"/>
      <w:pPr>
        <w:tabs>
          <w:tab w:val="num" w:pos="284"/>
        </w:tabs>
        <w:ind w:left="284" w:hanging="284"/>
      </w:pPr>
      <w:rPr>
        <w:rFont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 w15:restartNumberingAfterBreak="0">
    <w:nsid w:val="07D06914"/>
    <w:multiLevelType w:val="hybridMultilevel"/>
    <w:tmpl w:val="E7E86716"/>
    <w:lvl w:ilvl="0" w:tplc="307443E6">
      <w:start w:val="7"/>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0D7C02C7"/>
    <w:multiLevelType w:val="hybridMultilevel"/>
    <w:tmpl w:val="7FD6C60E"/>
    <w:lvl w:ilvl="0" w:tplc="080C0001">
      <w:start w:val="1"/>
      <w:numFmt w:val="bullet"/>
      <w:lvlText w:val=""/>
      <w:lvlJc w:val="left"/>
      <w:pPr>
        <w:ind w:left="360" w:hanging="360"/>
      </w:pPr>
      <w:rPr>
        <w:rFonts w:ascii="Symbol" w:hAnsi="Symbol" w:hint="default"/>
      </w:rPr>
    </w:lvl>
    <w:lvl w:ilvl="1" w:tplc="FFFFFFFF">
      <w:numFmt w:val="bullet"/>
      <w:lvlText w:val=""/>
      <w:lvlJc w:val="left"/>
      <w:pPr>
        <w:ind w:left="1080" w:hanging="360"/>
      </w:pPr>
      <w:rPr>
        <w:rFonts w:ascii="Symbol" w:hAnsi="Symbol"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7" w15:restartNumberingAfterBreak="0">
    <w:nsid w:val="0DAD6B0B"/>
    <w:multiLevelType w:val="hybridMultilevel"/>
    <w:tmpl w:val="184467D6"/>
    <w:lvl w:ilvl="0" w:tplc="B1BE57D6">
      <w:start w:val="1"/>
      <w:numFmt w:val="bullet"/>
      <w:lvlText w:val="-"/>
      <w:lvlJc w:val="left"/>
      <w:pPr>
        <w:ind w:left="720" w:hanging="360"/>
      </w:pPr>
      <w:rPr>
        <w:rFonts w:ascii="Calibri" w:eastAsia="Times New Roman"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0E2C5B89"/>
    <w:multiLevelType w:val="hybridMultilevel"/>
    <w:tmpl w:val="32647DBE"/>
    <w:lvl w:ilvl="0" w:tplc="CA281530">
      <w:start w:val="7118"/>
      <w:numFmt w:val="bullet"/>
      <w:lvlText w:val="-"/>
      <w:lvlJc w:val="left"/>
      <w:pPr>
        <w:ind w:left="1080" w:hanging="360"/>
      </w:pPr>
      <w:rPr>
        <w:rFonts w:ascii="Times New Roman" w:eastAsia="Times New Roman" w:hAnsi="Times New Roman" w:cs="Times New Roman"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9" w15:restartNumberingAfterBreak="0">
    <w:nsid w:val="127B35A7"/>
    <w:multiLevelType w:val="hybridMultilevel"/>
    <w:tmpl w:val="12CA3436"/>
    <w:lvl w:ilvl="0" w:tplc="CA281530">
      <w:start w:val="7118"/>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E157F5"/>
    <w:multiLevelType w:val="hybridMultilevel"/>
    <w:tmpl w:val="E1DC3950"/>
    <w:lvl w:ilvl="0" w:tplc="00F86854">
      <w:start w:val="6"/>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15:restartNumberingAfterBreak="0">
    <w:nsid w:val="153250DA"/>
    <w:multiLevelType w:val="hybridMultilevel"/>
    <w:tmpl w:val="2C7CD68E"/>
    <w:lvl w:ilvl="0" w:tplc="040C000F">
      <w:start w:val="1"/>
      <w:numFmt w:val="decimal"/>
      <w:lvlText w:val="%1."/>
      <w:lvlJc w:val="left"/>
      <w:pPr>
        <w:tabs>
          <w:tab w:val="num" w:pos="720"/>
        </w:tabs>
        <w:ind w:left="720" w:hanging="360"/>
      </w:pPr>
    </w:lvl>
    <w:lvl w:ilvl="1" w:tplc="040C0019">
      <w:start w:val="1"/>
      <w:numFmt w:val="lowerLetter"/>
      <w:lvlText w:val="%2."/>
      <w:lvlJc w:val="left"/>
      <w:pPr>
        <w:tabs>
          <w:tab w:val="num" w:pos="1440"/>
        </w:tabs>
        <w:ind w:left="1440" w:hanging="360"/>
      </w:pPr>
    </w:lvl>
    <w:lvl w:ilvl="2" w:tplc="040C001B">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15:restartNumberingAfterBreak="0">
    <w:nsid w:val="1AC77614"/>
    <w:multiLevelType w:val="hybridMultilevel"/>
    <w:tmpl w:val="6172A7C2"/>
    <w:lvl w:ilvl="0" w:tplc="432C40D8">
      <w:start w:val="6"/>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1F9D73F0"/>
    <w:multiLevelType w:val="hybridMultilevel"/>
    <w:tmpl w:val="BEA8B936"/>
    <w:lvl w:ilvl="0" w:tplc="080C000B">
      <w:start w:val="1"/>
      <w:numFmt w:val="bullet"/>
      <w:lvlText w:val=""/>
      <w:lvlJc w:val="left"/>
      <w:pPr>
        <w:ind w:left="360" w:hanging="360"/>
      </w:pPr>
      <w:rPr>
        <w:rFonts w:ascii="Wingdings" w:hAnsi="Wingdings" w:hint="default"/>
      </w:rPr>
    </w:lvl>
    <w:lvl w:ilvl="1" w:tplc="080C0003">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4" w15:restartNumberingAfterBreak="0">
    <w:nsid w:val="20B150A2"/>
    <w:multiLevelType w:val="hybridMultilevel"/>
    <w:tmpl w:val="5DFE2D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22F66301"/>
    <w:multiLevelType w:val="hybridMultilevel"/>
    <w:tmpl w:val="D1F06540"/>
    <w:lvl w:ilvl="0" w:tplc="E882702E">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15:restartNumberingAfterBreak="0">
    <w:nsid w:val="2A0B354F"/>
    <w:multiLevelType w:val="hybridMultilevel"/>
    <w:tmpl w:val="11CAEE0C"/>
    <w:lvl w:ilvl="0" w:tplc="040C000F">
      <w:start w:val="1"/>
      <w:numFmt w:val="decimal"/>
      <w:lvlText w:val="%1."/>
      <w:lvlJc w:val="left"/>
      <w:pPr>
        <w:tabs>
          <w:tab w:val="num" w:pos="720"/>
        </w:tabs>
        <w:ind w:left="720" w:hanging="360"/>
      </w:pPr>
    </w:lvl>
    <w:lvl w:ilvl="1" w:tplc="C22A3998">
      <w:start w:val="1"/>
      <w:numFmt w:val="upperLetter"/>
      <w:lvlText w:val="%2."/>
      <w:lvlJc w:val="left"/>
      <w:pPr>
        <w:tabs>
          <w:tab w:val="num" w:pos="284"/>
        </w:tabs>
        <w:ind w:left="284" w:hanging="284"/>
      </w:pPr>
      <w:rPr>
        <w:rFonts w:hint="default"/>
      </w:rPr>
    </w:lvl>
    <w:lvl w:ilvl="2" w:tplc="9E62BFD2">
      <w:start w:val="1"/>
      <w:numFmt w:val="upperLetter"/>
      <w:lvlText w:val="%3."/>
      <w:lvlJc w:val="left"/>
      <w:pPr>
        <w:tabs>
          <w:tab w:val="num" w:pos="284"/>
        </w:tabs>
        <w:ind w:left="284" w:hanging="284"/>
      </w:pPr>
      <w:rPr>
        <w:rFonts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315B3F51"/>
    <w:multiLevelType w:val="hybridMultilevel"/>
    <w:tmpl w:val="D2D25320"/>
    <w:lvl w:ilvl="0" w:tplc="040C0001">
      <w:start w:val="1"/>
      <w:numFmt w:val="bullet"/>
      <w:lvlText w:val=""/>
      <w:lvlJc w:val="left"/>
      <w:pPr>
        <w:tabs>
          <w:tab w:val="num" w:pos="360"/>
        </w:tabs>
        <w:ind w:left="360" w:hanging="360"/>
      </w:pPr>
      <w:rPr>
        <w:rFonts w:ascii="Symbol" w:hAnsi="Symbol" w:hint="default"/>
      </w:rPr>
    </w:lvl>
    <w:lvl w:ilvl="1" w:tplc="2B60750E">
      <w:start w:val="2"/>
      <w:numFmt w:val="upperLetter"/>
      <w:lvlText w:val="%2."/>
      <w:lvlJc w:val="left"/>
      <w:pPr>
        <w:tabs>
          <w:tab w:val="num" w:pos="1364"/>
        </w:tabs>
        <w:ind w:left="1364" w:hanging="284"/>
      </w:pPr>
      <w:rPr>
        <w:rFonts w:hint="default"/>
        <w:color w:val="99CCFF"/>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322570F5"/>
    <w:multiLevelType w:val="hybridMultilevel"/>
    <w:tmpl w:val="5BB6CFE2"/>
    <w:lvl w:ilvl="0" w:tplc="0BB80F3C">
      <w:start w:val="4"/>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 w15:restartNumberingAfterBreak="0">
    <w:nsid w:val="32B50E44"/>
    <w:multiLevelType w:val="multilevel"/>
    <w:tmpl w:val="7BD29B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3876E3C"/>
    <w:multiLevelType w:val="hybridMultilevel"/>
    <w:tmpl w:val="62B42AC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4324C3"/>
    <w:multiLevelType w:val="hybridMultilevel"/>
    <w:tmpl w:val="F3FA7E3A"/>
    <w:lvl w:ilvl="0" w:tplc="080C000F">
      <w:start w:val="1"/>
      <w:numFmt w:val="decimal"/>
      <w:lvlText w:val="%1."/>
      <w:lvlJc w:val="left"/>
      <w:pPr>
        <w:ind w:left="901" w:hanging="360"/>
      </w:pPr>
    </w:lvl>
    <w:lvl w:ilvl="1" w:tplc="080C0019" w:tentative="1">
      <w:start w:val="1"/>
      <w:numFmt w:val="lowerLetter"/>
      <w:lvlText w:val="%2."/>
      <w:lvlJc w:val="left"/>
      <w:pPr>
        <w:ind w:left="1621" w:hanging="360"/>
      </w:pPr>
    </w:lvl>
    <w:lvl w:ilvl="2" w:tplc="080C001B" w:tentative="1">
      <w:start w:val="1"/>
      <w:numFmt w:val="lowerRoman"/>
      <w:lvlText w:val="%3."/>
      <w:lvlJc w:val="right"/>
      <w:pPr>
        <w:ind w:left="2341" w:hanging="180"/>
      </w:pPr>
    </w:lvl>
    <w:lvl w:ilvl="3" w:tplc="080C000F" w:tentative="1">
      <w:start w:val="1"/>
      <w:numFmt w:val="decimal"/>
      <w:lvlText w:val="%4."/>
      <w:lvlJc w:val="left"/>
      <w:pPr>
        <w:ind w:left="3061" w:hanging="360"/>
      </w:pPr>
    </w:lvl>
    <w:lvl w:ilvl="4" w:tplc="080C0019" w:tentative="1">
      <w:start w:val="1"/>
      <w:numFmt w:val="lowerLetter"/>
      <w:lvlText w:val="%5."/>
      <w:lvlJc w:val="left"/>
      <w:pPr>
        <w:ind w:left="3781" w:hanging="360"/>
      </w:pPr>
    </w:lvl>
    <w:lvl w:ilvl="5" w:tplc="080C001B" w:tentative="1">
      <w:start w:val="1"/>
      <w:numFmt w:val="lowerRoman"/>
      <w:lvlText w:val="%6."/>
      <w:lvlJc w:val="right"/>
      <w:pPr>
        <w:ind w:left="4501" w:hanging="180"/>
      </w:pPr>
    </w:lvl>
    <w:lvl w:ilvl="6" w:tplc="080C000F" w:tentative="1">
      <w:start w:val="1"/>
      <w:numFmt w:val="decimal"/>
      <w:lvlText w:val="%7."/>
      <w:lvlJc w:val="left"/>
      <w:pPr>
        <w:ind w:left="5221" w:hanging="360"/>
      </w:pPr>
    </w:lvl>
    <w:lvl w:ilvl="7" w:tplc="080C0019" w:tentative="1">
      <w:start w:val="1"/>
      <w:numFmt w:val="lowerLetter"/>
      <w:lvlText w:val="%8."/>
      <w:lvlJc w:val="left"/>
      <w:pPr>
        <w:ind w:left="5941" w:hanging="360"/>
      </w:pPr>
    </w:lvl>
    <w:lvl w:ilvl="8" w:tplc="080C001B" w:tentative="1">
      <w:start w:val="1"/>
      <w:numFmt w:val="lowerRoman"/>
      <w:lvlText w:val="%9."/>
      <w:lvlJc w:val="right"/>
      <w:pPr>
        <w:ind w:left="6661" w:hanging="180"/>
      </w:pPr>
    </w:lvl>
  </w:abstractNum>
  <w:abstractNum w:abstractNumId="22" w15:restartNumberingAfterBreak="0">
    <w:nsid w:val="3848664A"/>
    <w:multiLevelType w:val="hybridMultilevel"/>
    <w:tmpl w:val="08B0B6FA"/>
    <w:lvl w:ilvl="0" w:tplc="3EC46F96">
      <w:start w:val="5"/>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 w15:restartNumberingAfterBreak="0">
    <w:nsid w:val="39C20E90"/>
    <w:multiLevelType w:val="hybridMultilevel"/>
    <w:tmpl w:val="C6623D3C"/>
    <w:lvl w:ilvl="0" w:tplc="0C44D97E">
      <w:start w:val="3"/>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4" w15:restartNumberingAfterBreak="0">
    <w:nsid w:val="3AB209EC"/>
    <w:multiLevelType w:val="hybridMultilevel"/>
    <w:tmpl w:val="3A12410C"/>
    <w:lvl w:ilvl="0" w:tplc="CB0077E6">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15:restartNumberingAfterBreak="0">
    <w:nsid w:val="3C9F5CC7"/>
    <w:multiLevelType w:val="hybridMultilevel"/>
    <w:tmpl w:val="967A42B6"/>
    <w:lvl w:ilvl="0" w:tplc="D598A63C">
      <w:start w:val="4"/>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15:restartNumberingAfterBreak="0">
    <w:nsid w:val="4080353F"/>
    <w:multiLevelType w:val="hybridMultilevel"/>
    <w:tmpl w:val="D9226C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443D1872"/>
    <w:multiLevelType w:val="hybridMultilevel"/>
    <w:tmpl w:val="7BD29BD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8" w15:restartNumberingAfterBreak="0">
    <w:nsid w:val="477A59CF"/>
    <w:multiLevelType w:val="hybridMultilevel"/>
    <w:tmpl w:val="FFFFFFFF"/>
    <w:lvl w:ilvl="0" w:tplc="3C5E57CA">
      <w:start w:val="1"/>
      <w:numFmt w:val="bullet"/>
      <w:lvlText w:val="-"/>
      <w:lvlJc w:val="left"/>
      <w:pPr>
        <w:ind w:left="63" w:hanging="135"/>
      </w:pPr>
      <w:rPr>
        <w:rFonts w:ascii="Cambria" w:eastAsia="Times New Roman" w:hAnsi="Cambria" w:hint="default"/>
        <w:sz w:val="22"/>
      </w:rPr>
    </w:lvl>
    <w:lvl w:ilvl="1" w:tplc="4E60257E">
      <w:start w:val="1"/>
      <w:numFmt w:val="bullet"/>
      <w:lvlText w:val="•"/>
      <w:lvlJc w:val="left"/>
      <w:pPr>
        <w:ind w:left="545" w:hanging="135"/>
      </w:pPr>
      <w:rPr>
        <w:rFonts w:hint="default"/>
      </w:rPr>
    </w:lvl>
    <w:lvl w:ilvl="2" w:tplc="B8203438">
      <w:start w:val="1"/>
      <w:numFmt w:val="bullet"/>
      <w:lvlText w:val="•"/>
      <w:lvlJc w:val="left"/>
      <w:pPr>
        <w:ind w:left="1026" w:hanging="135"/>
      </w:pPr>
      <w:rPr>
        <w:rFonts w:hint="default"/>
      </w:rPr>
    </w:lvl>
    <w:lvl w:ilvl="3" w:tplc="A560CFA8">
      <w:start w:val="1"/>
      <w:numFmt w:val="bullet"/>
      <w:lvlText w:val="•"/>
      <w:lvlJc w:val="left"/>
      <w:pPr>
        <w:ind w:left="1508" w:hanging="135"/>
      </w:pPr>
      <w:rPr>
        <w:rFonts w:hint="default"/>
      </w:rPr>
    </w:lvl>
    <w:lvl w:ilvl="4" w:tplc="DBFE232C">
      <w:start w:val="1"/>
      <w:numFmt w:val="bullet"/>
      <w:lvlText w:val="•"/>
      <w:lvlJc w:val="left"/>
      <w:pPr>
        <w:ind w:left="1989" w:hanging="135"/>
      </w:pPr>
      <w:rPr>
        <w:rFonts w:hint="default"/>
      </w:rPr>
    </w:lvl>
    <w:lvl w:ilvl="5" w:tplc="993AF4DE">
      <w:start w:val="1"/>
      <w:numFmt w:val="bullet"/>
      <w:lvlText w:val="•"/>
      <w:lvlJc w:val="left"/>
      <w:pPr>
        <w:ind w:left="2471" w:hanging="135"/>
      </w:pPr>
      <w:rPr>
        <w:rFonts w:hint="default"/>
      </w:rPr>
    </w:lvl>
    <w:lvl w:ilvl="6" w:tplc="8114689C">
      <w:start w:val="1"/>
      <w:numFmt w:val="bullet"/>
      <w:lvlText w:val="•"/>
      <w:lvlJc w:val="left"/>
      <w:pPr>
        <w:ind w:left="2952" w:hanging="135"/>
      </w:pPr>
      <w:rPr>
        <w:rFonts w:hint="default"/>
      </w:rPr>
    </w:lvl>
    <w:lvl w:ilvl="7" w:tplc="AF049F92">
      <w:start w:val="1"/>
      <w:numFmt w:val="bullet"/>
      <w:lvlText w:val="•"/>
      <w:lvlJc w:val="left"/>
      <w:pPr>
        <w:ind w:left="3434" w:hanging="135"/>
      </w:pPr>
      <w:rPr>
        <w:rFonts w:hint="default"/>
      </w:rPr>
    </w:lvl>
    <w:lvl w:ilvl="8" w:tplc="46DE407A">
      <w:start w:val="1"/>
      <w:numFmt w:val="bullet"/>
      <w:lvlText w:val="•"/>
      <w:lvlJc w:val="left"/>
      <w:pPr>
        <w:ind w:left="3915" w:hanging="135"/>
      </w:pPr>
      <w:rPr>
        <w:rFonts w:hint="default"/>
      </w:rPr>
    </w:lvl>
  </w:abstractNum>
  <w:abstractNum w:abstractNumId="29" w15:restartNumberingAfterBreak="0">
    <w:nsid w:val="4A3D56E7"/>
    <w:multiLevelType w:val="hybridMultilevel"/>
    <w:tmpl w:val="70E21692"/>
    <w:lvl w:ilvl="0" w:tplc="58EEF966">
      <w:numFmt w:val="bullet"/>
      <w:lvlText w:val="-"/>
      <w:lvlJc w:val="left"/>
      <w:pPr>
        <w:ind w:left="1080" w:hanging="360"/>
      </w:pPr>
      <w:rPr>
        <w:rFonts w:ascii="Calibri" w:eastAsia="Times New Roman" w:hAnsi="Calibri" w:cs="Calibr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0" w15:restartNumberingAfterBreak="0">
    <w:nsid w:val="4DE87684"/>
    <w:multiLevelType w:val="hybridMultilevel"/>
    <w:tmpl w:val="02DCF73E"/>
    <w:lvl w:ilvl="0" w:tplc="040C0001">
      <w:start w:val="1"/>
      <w:numFmt w:val="bullet"/>
      <w:lvlText w:val=""/>
      <w:lvlJc w:val="left"/>
      <w:pPr>
        <w:tabs>
          <w:tab w:val="num" w:pos="360"/>
        </w:tabs>
        <w:ind w:left="360" w:hanging="360"/>
      </w:pPr>
      <w:rPr>
        <w:rFonts w:ascii="Symbol" w:hAnsi="Symbo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15:restartNumberingAfterBreak="0">
    <w:nsid w:val="4F6A5941"/>
    <w:multiLevelType w:val="hybridMultilevel"/>
    <w:tmpl w:val="FFFFFFFF"/>
    <w:lvl w:ilvl="0" w:tplc="BEAC7280">
      <w:start w:val="1"/>
      <w:numFmt w:val="bullet"/>
      <w:lvlText w:val="-"/>
      <w:lvlJc w:val="left"/>
      <w:pPr>
        <w:ind w:left="63" w:hanging="135"/>
      </w:pPr>
      <w:rPr>
        <w:rFonts w:ascii="Cambria" w:eastAsia="Times New Roman" w:hAnsi="Cambria" w:hint="default"/>
        <w:sz w:val="22"/>
      </w:rPr>
    </w:lvl>
    <w:lvl w:ilvl="1" w:tplc="F22E5F4C">
      <w:start w:val="1"/>
      <w:numFmt w:val="bullet"/>
      <w:lvlText w:val="•"/>
      <w:lvlJc w:val="left"/>
      <w:pPr>
        <w:ind w:left="545" w:hanging="135"/>
      </w:pPr>
      <w:rPr>
        <w:rFonts w:hint="default"/>
      </w:rPr>
    </w:lvl>
    <w:lvl w:ilvl="2" w:tplc="7E1C76B8">
      <w:start w:val="1"/>
      <w:numFmt w:val="bullet"/>
      <w:lvlText w:val="•"/>
      <w:lvlJc w:val="left"/>
      <w:pPr>
        <w:ind w:left="1026" w:hanging="135"/>
      </w:pPr>
      <w:rPr>
        <w:rFonts w:hint="default"/>
      </w:rPr>
    </w:lvl>
    <w:lvl w:ilvl="3" w:tplc="CD421722">
      <w:start w:val="1"/>
      <w:numFmt w:val="bullet"/>
      <w:lvlText w:val="•"/>
      <w:lvlJc w:val="left"/>
      <w:pPr>
        <w:ind w:left="1508" w:hanging="135"/>
      </w:pPr>
      <w:rPr>
        <w:rFonts w:hint="default"/>
      </w:rPr>
    </w:lvl>
    <w:lvl w:ilvl="4" w:tplc="D856D904">
      <w:start w:val="1"/>
      <w:numFmt w:val="bullet"/>
      <w:lvlText w:val="•"/>
      <w:lvlJc w:val="left"/>
      <w:pPr>
        <w:ind w:left="1990" w:hanging="135"/>
      </w:pPr>
      <w:rPr>
        <w:rFonts w:hint="default"/>
      </w:rPr>
    </w:lvl>
    <w:lvl w:ilvl="5" w:tplc="087CE990">
      <w:start w:val="1"/>
      <w:numFmt w:val="bullet"/>
      <w:lvlText w:val="•"/>
      <w:lvlJc w:val="left"/>
      <w:pPr>
        <w:ind w:left="2471" w:hanging="135"/>
      </w:pPr>
      <w:rPr>
        <w:rFonts w:hint="default"/>
      </w:rPr>
    </w:lvl>
    <w:lvl w:ilvl="6" w:tplc="F084865E">
      <w:start w:val="1"/>
      <w:numFmt w:val="bullet"/>
      <w:lvlText w:val="•"/>
      <w:lvlJc w:val="left"/>
      <w:pPr>
        <w:ind w:left="2953" w:hanging="135"/>
      </w:pPr>
      <w:rPr>
        <w:rFonts w:hint="default"/>
      </w:rPr>
    </w:lvl>
    <w:lvl w:ilvl="7" w:tplc="54B620FC">
      <w:start w:val="1"/>
      <w:numFmt w:val="bullet"/>
      <w:lvlText w:val="•"/>
      <w:lvlJc w:val="left"/>
      <w:pPr>
        <w:ind w:left="3434" w:hanging="135"/>
      </w:pPr>
      <w:rPr>
        <w:rFonts w:hint="default"/>
      </w:rPr>
    </w:lvl>
    <w:lvl w:ilvl="8" w:tplc="C5D4F904">
      <w:start w:val="1"/>
      <w:numFmt w:val="bullet"/>
      <w:lvlText w:val="•"/>
      <w:lvlJc w:val="left"/>
      <w:pPr>
        <w:ind w:left="3916" w:hanging="135"/>
      </w:pPr>
      <w:rPr>
        <w:rFonts w:hint="default"/>
      </w:rPr>
    </w:lvl>
  </w:abstractNum>
  <w:abstractNum w:abstractNumId="32" w15:restartNumberingAfterBreak="0">
    <w:nsid w:val="4FDB4AAA"/>
    <w:multiLevelType w:val="hybridMultilevel"/>
    <w:tmpl w:val="1D2C6080"/>
    <w:lvl w:ilvl="0" w:tplc="040C0001">
      <w:start w:val="1"/>
      <w:numFmt w:val="bullet"/>
      <w:lvlText w:val=""/>
      <w:lvlJc w:val="left"/>
      <w:pPr>
        <w:tabs>
          <w:tab w:val="num" w:pos="360"/>
        </w:tabs>
        <w:ind w:left="360" w:hanging="360"/>
      </w:pPr>
      <w:rPr>
        <w:rFonts w:ascii="Symbol" w:hAnsi="Symbo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3" w15:restartNumberingAfterBreak="0">
    <w:nsid w:val="516A1F19"/>
    <w:multiLevelType w:val="hybridMultilevel"/>
    <w:tmpl w:val="C86A1FBC"/>
    <w:lvl w:ilvl="0" w:tplc="B0146118">
      <w:start w:val="5"/>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4" w15:restartNumberingAfterBreak="0">
    <w:nsid w:val="53A51B14"/>
    <w:multiLevelType w:val="hybridMultilevel"/>
    <w:tmpl w:val="11C87658"/>
    <w:lvl w:ilvl="0" w:tplc="08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1A238A"/>
    <w:multiLevelType w:val="hybridMultilevel"/>
    <w:tmpl w:val="7092235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54602554"/>
    <w:multiLevelType w:val="hybridMultilevel"/>
    <w:tmpl w:val="6E204410"/>
    <w:lvl w:ilvl="0" w:tplc="E882702E">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 w15:restartNumberingAfterBreak="0">
    <w:nsid w:val="5D682E3B"/>
    <w:multiLevelType w:val="hybridMultilevel"/>
    <w:tmpl w:val="A3800F10"/>
    <w:lvl w:ilvl="0" w:tplc="D94CE216">
      <w:start w:val="7"/>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8" w15:restartNumberingAfterBreak="0">
    <w:nsid w:val="5E924B02"/>
    <w:multiLevelType w:val="hybridMultilevel"/>
    <w:tmpl w:val="9FC4D2F2"/>
    <w:lvl w:ilvl="0" w:tplc="040C000F">
      <w:start w:val="1"/>
      <w:numFmt w:val="decimal"/>
      <w:lvlText w:val="%1."/>
      <w:lvlJc w:val="left"/>
      <w:pPr>
        <w:tabs>
          <w:tab w:val="num" w:pos="720"/>
        </w:tabs>
        <w:ind w:left="720" w:hanging="360"/>
      </w:pPr>
    </w:lvl>
    <w:lvl w:ilvl="1" w:tplc="C15A1C7C">
      <w:start w:val="1"/>
      <w:numFmt w:val="upperLetter"/>
      <w:lvlText w:val="%2."/>
      <w:lvlJc w:val="left"/>
      <w:pPr>
        <w:tabs>
          <w:tab w:val="num" w:pos="284"/>
        </w:tabs>
        <w:ind w:left="284" w:hanging="284"/>
      </w:pPr>
      <w:rPr>
        <w:rFont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9" w15:restartNumberingAfterBreak="0">
    <w:nsid w:val="60A439BA"/>
    <w:multiLevelType w:val="hybridMultilevel"/>
    <w:tmpl w:val="8D0ED802"/>
    <w:lvl w:ilvl="0" w:tplc="040C0001">
      <w:start w:val="1"/>
      <w:numFmt w:val="bullet"/>
      <w:lvlText w:val=""/>
      <w:lvlJc w:val="left"/>
      <w:pPr>
        <w:tabs>
          <w:tab w:val="num" w:pos="720"/>
        </w:tabs>
        <w:ind w:left="720" w:hanging="360"/>
      </w:pPr>
      <w:rPr>
        <w:rFonts w:ascii="Symbol" w:hAnsi="Symbol" w:hint="default"/>
      </w:rPr>
    </w:lvl>
    <w:lvl w:ilvl="1" w:tplc="D1D6AB6A">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6102DA6"/>
    <w:multiLevelType w:val="hybridMultilevel"/>
    <w:tmpl w:val="C7B26D46"/>
    <w:lvl w:ilvl="0" w:tplc="710C69A2">
      <w:start w:val="2"/>
      <w:numFmt w:val="upperLetter"/>
      <w:lvlText w:val="%1."/>
      <w:lvlJc w:val="left"/>
      <w:pPr>
        <w:tabs>
          <w:tab w:val="num" w:pos="284"/>
        </w:tabs>
        <w:ind w:left="284" w:hanging="284"/>
      </w:pPr>
      <w:rPr>
        <w:rFonts w:hint="default"/>
        <w:color w:val="99CCFF"/>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1" w15:restartNumberingAfterBreak="0">
    <w:nsid w:val="671B355D"/>
    <w:multiLevelType w:val="hybridMultilevel"/>
    <w:tmpl w:val="BCA6DBF6"/>
    <w:lvl w:ilvl="0" w:tplc="E4B696CA">
      <w:numFmt w:val="bullet"/>
      <w:lvlText w:val="-"/>
      <w:lvlJc w:val="left"/>
      <w:pPr>
        <w:tabs>
          <w:tab w:val="num" w:pos="1440"/>
        </w:tabs>
        <w:ind w:left="1440" w:hanging="360"/>
      </w:pPr>
      <w:rPr>
        <w:rFonts w:ascii="Gigi" w:eastAsia="Gigi" w:hAnsi="Gigi" w:cs="Gigi"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68DC1648"/>
    <w:multiLevelType w:val="hybridMultilevel"/>
    <w:tmpl w:val="0DFE36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 w15:restartNumberingAfterBreak="0">
    <w:nsid w:val="6A906FE0"/>
    <w:multiLevelType w:val="hybridMultilevel"/>
    <w:tmpl w:val="5036B834"/>
    <w:lvl w:ilvl="0" w:tplc="81F4D154">
      <w:start w:val="2"/>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4" w15:restartNumberingAfterBreak="0">
    <w:nsid w:val="6C17073A"/>
    <w:multiLevelType w:val="hybridMultilevel"/>
    <w:tmpl w:val="951CE6A2"/>
    <w:lvl w:ilvl="0" w:tplc="040C0001">
      <w:start w:val="1"/>
      <w:numFmt w:val="bullet"/>
      <w:lvlText w:val=""/>
      <w:lvlJc w:val="left"/>
      <w:pPr>
        <w:tabs>
          <w:tab w:val="num" w:pos="720"/>
        </w:tabs>
        <w:ind w:left="720" w:hanging="360"/>
      </w:pPr>
      <w:rPr>
        <w:rFonts w:ascii="Symbol" w:hAnsi="Symbol" w:hint="default"/>
      </w:rPr>
    </w:lvl>
    <w:lvl w:ilvl="1" w:tplc="8B3AAEDE">
      <w:start w:val="2"/>
      <w:numFmt w:val="upperLetter"/>
      <w:lvlText w:val="%2."/>
      <w:lvlJc w:val="left"/>
      <w:pPr>
        <w:tabs>
          <w:tab w:val="num" w:pos="284"/>
        </w:tabs>
        <w:ind w:left="284" w:hanging="284"/>
      </w:pPr>
      <w:rPr>
        <w:rFont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C57014A"/>
    <w:multiLevelType w:val="hybridMultilevel"/>
    <w:tmpl w:val="DE48F6B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3F143C4"/>
    <w:multiLevelType w:val="hybridMultilevel"/>
    <w:tmpl w:val="4462E45E"/>
    <w:lvl w:ilvl="0" w:tplc="78EC68B2">
      <w:start w:val="1"/>
      <w:numFmt w:val="decimal"/>
      <w:lvlText w:val="%1."/>
      <w:lvlJc w:val="left"/>
      <w:pPr>
        <w:tabs>
          <w:tab w:val="num" w:pos="284"/>
        </w:tabs>
        <w:ind w:left="284" w:hanging="284"/>
      </w:pPr>
      <w:rPr>
        <w:rFonts w:hint="default"/>
      </w:rPr>
    </w:lvl>
    <w:lvl w:ilvl="1" w:tplc="85AA305C">
      <w:start w:val="1"/>
      <w:numFmt w:val="upperLetter"/>
      <w:lvlText w:val="%2."/>
      <w:lvlJc w:val="left"/>
      <w:pPr>
        <w:tabs>
          <w:tab w:val="num" w:pos="284"/>
        </w:tabs>
        <w:ind w:left="284" w:hanging="284"/>
      </w:pPr>
      <w:rPr>
        <w:rFonts w:hint="default"/>
        <w:color w:val="99CCFF"/>
      </w:rPr>
    </w:lvl>
    <w:lvl w:ilvl="2" w:tplc="9EA48CAA">
      <w:start w:val="1"/>
      <w:numFmt w:val="decimal"/>
      <w:lvlText w:val="%3."/>
      <w:lvlJc w:val="left"/>
      <w:pPr>
        <w:tabs>
          <w:tab w:val="num" w:pos="284"/>
        </w:tabs>
        <w:ind w:left="284" w:hanging="284"/>
      </w:pPr>
      <w:rPr>
        <w:rFonts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7" w15:restartNumberingAfterBreak="0">
    <w:nsid w:val="74F93C2F"/>
    <w:multiLevelType w:val="hybridMultilevel"/>
    <w:tmpl w:val="4AD43FB8"/>
    <w:lvl w:ilvl="0" w:tplc="080C0009">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15:restartNumberingAfterBreak="0">
    <w:nsid w:val="7AE20635"/>
    <w:multiLevelType w:val="hybridMultilevel"/>
    <w:tmpl w:val="86C6DFA0"/>
    <w:lvl w:ilvl="0" w:tplc="040C0001">
      <w:start w:val="1"/>
      <w:numFmt w:val="bullet"/>
      <w:lvlText w:val=""/>
      <w:lvlJc w:val="left"/>
      <w:pPr>
        <w:tabs>
          <w:tab w:val="num" w:pos="360"/>
        </w:tabs>
        <w:ind w:left="360" w:hanging="360"/>
      </w:pPr>
      <w:rPr>
        <w:rFonts w:ascii="Symbol" w:hAnsi="Symbol" w:hint="default"/>
      </w:rPr>
    </w:lvl>
    <w:lvl w:ilvl="1" w:tplc="8CA64B78">
      <w:start w:val="3"/>
      <w:numFmt w:val="upperLetter"/>
      <w:lvlText w:val="%2."/>
      <w:lvlJc w:val="left"/>
      <w:pPr>
        <w:tabs>
          <w:tab w:val="num" w:pos="284"/>
        </w:tabs>
        <w:ind w:left="284" w:hanging="284"/>
      </w:pPr>
      <w:rPr>
        <w:rFonts w:hint="default"/>
        <w:color w:val="99CCFF"/>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9" w15:restartNumberingAfterBreak="0">
    <w:nsid w:val="7C1F7728"/>
    <w:multiLevelType w:val="hybridMultilevel"/>
    <w:tmpl w:val="F458535A"/>
    <w:lvl w:ilvl="0" w:tplc="B94AF04E">
      <w:start w:val="3"/>
      <w:numFmt w:val="upperLetter"/>
      <w:lvlText w:val="%1."/>
      <w:lvlJc w:val="left"/>
      <w:pPr>
        <w:tabs>
          <w:tab w:val="num" w:pos="284"/>
        </w:tabs>
        <w:ind w:left="284" w:hanging="284"/>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abstractNumId w:val="11"/>
  </w:num>
  <w:num w:numId="2">
    <w:abstractNumId w:val="16"/>
  </w:num>
  <w:num w:numId="3">
    <w:abstractNumId w:val="4"/>
  </w:num>
  <w:num w:numId="4">
    <w:abstractNumId w:val="46"/>
  </w:num>
  <w:num w:numId="5">
    <w:abstractNumId w:val="38"/>
  </w:num>
  <w:num w:numId="6">
    <w:abstractNumId w:val="44"/>
  </w:num>
  <w:num w:numId="7">
    <w:abstractNumId w:val="1"/>
  </w:num>
  <w:num w:numId="8">
    <w:abstractNumId w:val="49"/>
  </w:num>
  <w:num w:numId="9">
    <w:abstractNumId w:val="18"/>
  </w:num>
  <w:num w:numId="10">
    <w:abstractNumId w:val="22"/>
  </w:num>
  <w:num w:numId="11">
    <w:abstractNumId w:val="12"/>
  </w:num>
  <w:num w:numId="12">
    <w:abstractNumId w:val="37"/>
  </w:num>
  <w:num w:numId="13">
    <w:abstractNumId w:val="30"/>
  </w:num>
  <w:num w:numId="14">
    <w:abstractNumId w:val="32"/>
  </w:num>
  <w:num w:numId="15">
    <w:abstractNumId w:val="17"/>
  </w:num>
  <w:num w:numId="16">
    <w:abstractNumId w:val="48"/>
  </w:num>
  <w:num w:numId="17">
    <w:abstractNumId w:val="10"/>
  </w:num>
  <w:num w:numId="18">
    <w:abstractNumId w:val="33"/>
  </w:num>
  <w:num w:numId="19">
    <w:abstractNumId w:val="25"/>
  </w:num>
  <w:num w:numId="20">
    <w:abstractNumId w:val="40"/>
  </w:num>
  <w:num w:numId="21">
    <w:abstractNumId w:val="43"/>
  </w:num>
  <w:num w:numId="22">
    <w:abstractNumId w:val="2"/>
  </w:num>
  <w:num w:numId="23">
    <w:abstractNumId w:val="5"/>
  </w:num>
  <w:num w:numId="24">
    <w:abstractNumId w:val="23"/>
  </w:num>
  <w:num w:numId="25">
    <w:abstractNumId w:val="0"/>
    <w:lvlOverride w:ilvl="0">
      <w:lvl w:ilvl="0">
        <w:numFmt w:val="bullet"/>
        <w:lvlText w:val=""/>
        <w:legacy w:legacy="1" w:legacySpace="0" w:legacyIndent="360"/>
        <w:lvlJc w:val="left"/>
        <w:pPr>
          <w:ind w:left="360" w:hanging="360"/>
        </w:pPr>
        <w:rPr>
          <w:rFonts w:ascii="Symbol" w:hAnsi="Symbol" w:hint="default"/>
        </w:rPr>
      </w:lvl>
    </w:lvlOverride>
  </w:num>
  <w:num w:numId="26">
    <w:abstractNumId w:val="9"/>
  </w:num>
  <w:num w:numId="27">
    <w:abstractNumId w:val="27"/>
  </w:num>
  <w:num w:numId="28">
    <w:abstractNumId w:val="14"/>
  </w:num>
  <w:num w:numId="29">
    <w:abstractNumId w:val="19"/>
  </w:num>
  <w:num w:numId="30">
    <w:abstractNumId w:val="8"/>
  </w:num>
  <w:num w:numId="31">
    <w:abstractNumId w:val="26"/>
  </w:num>
  <w:num w:numId="32">
    <w:abstractNumId w:val="20"/>
  </w:num>
  <w:num w:numId="33">
    <w:abstractNumId w:val="29"/>
  </w:num>
  <w:num w:numId="34">
    <w:abstractNumId w:val="45"/>
  </w:num>
  <w:num w:numId="35">
    <w:abstractNumId w:val="39"/>
  </w:num>
  <w:num w:numId="36">
    <w:abstractNumId w:val="47"/>
  </w:num>
  <w:num w:numId="37">
    <w:abstractNumId w:val="7"/>
  </w:num>
  <w:num w:numId="38">
    <w:abstractNumId w:val="35"/>
  </w:num>
  <w:num w:numId="39">
    <w:abstractNumId w:val="41"/>
  </w:num>
  <w:num w:numId="40">
    <w:abstractNumId w:val="24"/>
  </w:num>
  <w:num w:numId="41">
    <w:abstractNumId w:val="13"/>
  </w:num>
  <w:num w:numId="42">
    <w:abstractNumId w:val="6"/>
  </w:num>
  <w:num w:numId="43">
    <w:abstractNumId w:val="42"/>
  </w:num>
  <w:num w:numId="44">
    <w:abstractNumId w:val="3"/>
  </w:num>
  <w:num w:numId="45">
    <w:abstractNumId w:val="34"/>
  </w:num>
  <w:num w:numId="46">
    <w:abstractNumId w:val="31"/>
  </w:num>
  <w:num w:numId="47">
    <w:abstractNumId w:val="21"/>
  </w:num>
  <w:num w:numId="48">
    <w:abstractNumId w:val="15"/>
  </w:num>
  <w:num w:numId="49">
    <w:abstractNumId w:val="28"/>
  </w:num>
  <w:num w:numId="50">
    <w:abstractNumId w:val="3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ShadeFormData/>
  <w:characterSpacingControl w:val="doNotCompress"/>
  <w:hdrShapeDefaults>
    <o:shapedefaults v:ext="edit" spidmax="10241">
      <o:colormru v:ext="edit" colors="#3265f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CF0"/>
    <w:rsid w:val="000B1041"/>
    <w:rsid w:val="00274129"/>
    <w:rsid w:val="003226EC"/>
    <w:rsid w:val="00426CF0"/>
    <w:rsid w:val="00582DC0"/>
    <w:rsid w:val="007E5873"/>
    <w:rsid w:val="00BE63CB"/>
    <w:rsid w:val="00C00FEB"/>
    <w:rsid w:val="00C12B01"/>
    <w:rsid w:val="00DF2E0C"/>
    <w:rsid w:val="00E159C6"/>
    <w:rsid w:val="00FC36AF"/>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colormru v:ext="edit" colors="#3265ff"/>
    </o:shapedefaults>
    <o:shapelayout v:ext="edit">
      <o:idmap v:ext="edit" data="1"/>
    </o:shapelayout>
  </w:shapeDefaults>
  <w:decimalSymbol w:val=","/>
  <w:listSeparator w:val=";"/>
  <w15:docId w15:val="{8D5FBA90-07A7-4355-8969-154AB84AA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rPr>
      <w:color w:val="0000FF"/>
      <w:u w:val="single"/>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character" w:customStyle="1" w:styleId="A18">
    <w:name w:val="A18"/>
    <w:rPr>
      <w:color w:val="000000"/>
      <w:sz w:val="14"/>
    </w:rPr>
  </w:style>
  <w:style w:type="paragraph" w:customStyle="1" w:styleId="Default">
    <w:name w:val="Default"/>
    <w:pPr>
      <w:autoSpaceDE w:val="0"/>
      <w:autoSpaceDN w:val="0"/>
      <w:adjustRightInd w:val="0"/>
    </w:pPr>
    <w:rPr>
      <w:rFonts w:ascii="Verdana" w:hAnsi="Verdana" w:cs="Verdana"/>
      <w:color w:val="000000"/>
      <w:sz w:val="24"/>
      <w:szCs w:val="24"/>
    </w:rPr>
  </w:style>
  <w:style w:type="character" w:styleId="lev">
    <w:name w:val="Strong"/>
    <w:basedOn w:val="Policepardfaut"/>
    <w:qFormat/>
    <w:rPr>
      <w:b/>
      <w:bCs/>
    </w:rPr>
  </w:style>
  <w:style w:type="paragraph" w:styleId="Textedebulles">
    <w:name w:val="Balloon Text"/>
    <w:basedOn w:val="Normal"/>
    <w:link w:val="TextedebullesCar"/>
    <w:rPr>
      <w:rFonts w:ascii="Tahoma" w:hAnsi="Tahoma" w:cs="Tahoma"/>
      <w:sz w:val="16"/>
      <w:szCs w:val="16"/>
    </w:rPr>
  </w:style>
  <w:style w:type="character" w:customStyle="1" w:styleId="TextedebullesCar">
    <w:name w:val="Texte de bulles Car"/>
    <w:basedOn w:val="Policepardfaut"/>
    <w:link w:val="Textedebulles"/>
    <w:rPr>
      <w:rFonts w:ascii="Tahoma" w:hAnsi="Tahoma" w:cs="Tahoma"/>
      <w:sz w:val="16"/>
      <w:szCs w:val="16"/>
      <w:lang w:val="fr-FR" w:eastAsia="fr-FR"/>
    </w:rPr>
  </w:style>
  <w:style w:type="paragraph" w:styleId="Paragraphedeliste">
    <w:name w:val="List Paragraph"/>
    <w:basedOn w:val="Normal"/>
    <w:uiPriority w:val="34"/>
    <w:qFormat/>
    <w:pPr>
      <w:ind w:left="720"/>
      <w:contextualSpacing/>
    </w:p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nhideWhenUsed/>
    <w:rPr>
      <w:sz w:val="16"/>
      <w:szCs w:val="16"/>
    </w:rPr>
  </w:style>
  <w:style w:type="paragraph" w:styleId="Commentaire">
    <w:name w:val="annotation text"/>
    <w:basedOn w:val="Normal"/>
    <w:link w:val="CommentaireCar"/>
    <w:unhideWhenUsed/>
    <w:rPr>
      <w:sz w:val="20"/>
      <w:szCs w:val="20"/>
    </w:rPr>
  </w:style>
  <w:style w:type="character" w:customStyle="1" w:styleId="CommentaireCar">
    <w:name w:val="Commentaire Car"/>
    <w:basedOn w:val="Policepardfaut"/>
    <w:link w:val="Commentaire"/>
    <w:rPr>
      <w:lang w:val="fr-FR" w:eastAsia="fr-FR"/>
    </w:rPr>
  </w:style>
  <w:style w:type="paragraph" w:styleId="Objetducommentaire">
    <w:name w:val="annotation subject"/>
    <w:basedOn w:val="Commentaire"/>
    <w:next w:val="Commentaire"/>
    <w:link w:val="ObjetducommentaireCar"/>
    <w:semiHidden/>
    <w:unhideWhenUsed/>
    <w:rPr>
      <w:b/>
      <w:bCs/>
    </w:rPr>
  </w:style>
  <w:style w:type="character" w:customStyle="1" w:styleId="ObjetducommentaireCar">
    <w:name w:val="Objet du commentaire Car"/>
    <w:basedOn w:val="CommentaireCar"/>
    <w:link w:val="Objetducommentaire"/>
    <w:semiHidden/>
    <w:rPr>
      <w:b/>
      <w:bCs/>
      <w:lang w:val="fr-FR" w:eastAsia="fr-FR"/>
    </w:rPr>
  </w:style>
  <w:style w:type="paragraph" w:customStyle="1" w:styleId="TableParagraph">
    <w:name w:val="Table Paragraph"/>
    <w:basedOn w:val="Normal"/>
    <w:pPr>
      <w:widowControl w:val="0"/>
    </w:pPr>
    <w:rPr>
      <w:rFonts w:ascii="Calibri" w:hAnsi="Calibri"/>
      <w:sz w:val="22"/>
      <w:szCs w:val="22"/>
      <w:lang w:val="en-US" w:eastAsia="en-US"/>
    </w:rPr>
  </w:style>
  <w:style w:type="paragraph" w:customStyle="1" w:styleId="Paragraphedeliste1">
    <w:name w:val="Paragraphe de liste1"/>
    <w:basedOn w:val="Normal"/>
    <w:pPr>
      <w:widowControl w:val="0"/>
    </w:pPr>
    <w:rPr>
      <w:rFonts w:ascii="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1388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10F42C-5B37-4A0B-93CD-7ADE35E80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2215</Words>
  <Characters>12187</Characters>
  <Application>Microsoft Office Word</Application>
  <DocSecurity>4</DocSecurity>
  <Lines>101</Lines>
  <Paragraphs>28</Paragraphs>
  <ScaleCrop>false</ScaleCrop>
  <HeadingPairs>
    <vt:vector size="2" baseType="variant">
      <vt:variant>
        <vt:lpstr>Titre</vt:lpstr>
      </vt:variant>
      <vt:variant>
        <vt:i4>1</vt:i4>
      </vt:variant>
    </vt:vector>
  </HeadingPairs>
  <TitlesOfParts>
    <vt:vector size="1" baseType="lpstr">
      <vt:lpstr>PROFIL DE FONCTION</vt:lpstr>
    </vt:vector>
  </TitlesOfParts>
  <Company>MFWB</Company>
  <LinksUpToDate>false</LinksUpToDate>
  <CharactersWithSpaces>14374</CharactersWithSpaces>
  <SharedDoc>false</SharedDoc>
  <HLinks>
    <vt:vector size="18" baseType="variant">
      <vt:variant>
        <vt:i4>7536659</vt:i4>
      </vt:variant>
      <vt:variant>
        <vt:i4>409</vt:i4>
      </vt:variant>
      <vt:variant>
        <vt:i4>0</vt:i4>
      </vt:variant>
      <vt:variant>
        <vt:i4>5</vt:i4>
      </vt:variant>
      <vt:variant>
        <vt:lpwstr>mailto:emploi.mcf@cfwb.be</vt:lpwstr>
      </vt:variant>
      <vt:variant>
        <vt:lpwstr/>
      </vt:variant>
      <vt:variant>
        <vt:i4>720913</vt:i4>
      </vt:variant>
      <vt:variant>
        <vt:i4>406</vt:i4>
      </vt:variant>
      <vt:variant>
        <vt:i4>0</vt:i4>
      </vt:variant>
      <vt:variant>
        <vt:i4>5</vt:i4>
      </vt:variant>
      <vt:variant>
        <vt:lpwstr>http://www.selor.be/</vt:lpwstr>
      </vt:variant>
      <vt:variant>
        <vt:lpwstr/>
      </vt:variant>
      <vt:variant>
        <vt:i4>5636103</vt:i4>
      </vt:variant>
      <vt:variant>
        <vt:i4>0</vt:i4>
      </vt:variant>
      <vt:variant>
        <vt:i4>0</vt:i4>
      </vt:variant>
      <vt:variant>
        <vt:i4>5</vt:i4>
      </vt:variant>
      <vt:variant>
        <vt:lpwstr>mailto:emploi.mcf(at)cfwb.be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PROFIL DE FONCTION</dc:title>
  <dc:creator>Laetitia JORION</dc:creator>
  <cp:lastModifiedBy>PERIN Aurélie</cp:lastModifiedBy>
  <cp:revision>2</cp:revision>
  <cp:lastPrinted>2018-07-25T13:33:00Z</cp:lastPrinted>
  <dcterms:created xsi:type="dcterms:W3CDTF">2024-04-02T11:41:00Z</dcterms:created>
  <dcterms:modified xsi:type="dcterms:W3CDTF">2024-04-02T11:41:00Z</dcterms:modified>
</cp:coreProperties>
</file>